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0C" w:rsidRPr="00797EE3" w:rsidRDefault="00BD7BE5" w:rsidP="002D7202">
      <w:pPr>
        <w:pStyle w:val="TextosemFormatao"/>
        <w:spacing w:afterAutospacing="0"/>
        <w:ind w:right="-518"/>
        <w:jc w:val="center"/>
        <w:rPr>
          <w:rFonts w:ascii="Times New Roman" w:hAnsi="Times New Roman"/>
          <w:b/>
          <w:sz w:val="24"/>
          <w:szCs w:val="24"/>
          <w:lang w:val="pt-BR"/>
        </w:rPr>
      </w:pPr>
      <w:bookmarkStart w:id="0" w:name="_GoBack"/>
      <w:bookmarkEnd w:id="0"/>
      <w:r w:rsidRPr="00797EE3">
        <w:rPr>
          <w:rFonts w:ascii="Times New Roman" w:hAnsi="Times New Roman"/>
          <w:b/>
          <w:sz w:val="24"/>
          <w:szCs w:val="24"/>
          <w:lang w:val="pt-BR"/>
        </w:rPr>
        <w:t>POTENCIAL</w:t>
      </w:r>
      <w:r w:rsidR="002B09B4" w:rsidRPr="00797EE3">
        <w:rPr>
          <w:rFonts w:ascii="Times New Roman" w:hAnsi="Times New Roman"/>
          <w:b/>
          <w:sz w:val="24"/>
          <w:szCs w:val="24"/>
          <w:lang w:val="pt-BR"/>
        </w:rPr>
        <w:t xml:space="preserve"> </w:t>
      </w:r>
      <w:r w:rsidR="00CC1CB3" w:rsidRPr="00797EE3">
        <w:rPr>
          <w:rFonts w:ascii="Times New Roman" w:hAnsi="Times New Roman"/>
          <w:b/>
          <w:sz w:val="24"/>
          <w:szCs w:val="24"/>
          <w:lang w:val="pt-BR"/>
        </w:rPr>
        <w:t xml:space="preserve">HÍDRICO FOLIAR </w:t>
      </w:r>
      <w:r w:rsidR="002B09B4" w:rsidRPr="00797EE3">
        <w:rPr>
          <w:rFonts w:ascii="Times New Roman" w:hAnsi="Times New Roman"/>
          <w:b/>
          <w:sz w:val="24"/>
          <w:szCs w:val="24"/>
          <w:lang w:val="pt-BR"/>
        </w:rPr>
        <w:t xml:space="preserve">E PRODUÇÃO DO TOMATEIRO SOB </w:t>
      </w:r>
      <w:r w:rsidR="00E97AB8" w:rsidRPr="00797EE3">
        <w:rPr>
          <w:rFonts w:ascii="Times New Roman" w:hAnsi="Times New Roman"/>
          <w:b/>
          <w:sz w:val="24"/>
          <w:szCs w:val="24"/>
          <w:lang w:val="pt-BR"/>
        </w:rPr>
        <w:t xml:space="preserve">LÂMINAS DE IRRIGAÇÃO E </w:t>
      </w:r>
      <w:r w:rsidR="002B09B4" w:rsidRPr="00797EE3">
        <w:rPr>
          <w:rFonts w:ascii="Times New Roman" w:hAnsi="Times New Roman"/>
          <w:b/>
          <w:sz w:val="24"/>
          <w:szCs w:val="24"/>
          <w:lang w:val="pt-BR"/>
        </w:rPr>
        <w:t>PARCELAMENTOS DE ADUBAÇÃO DE COBERTURA</w:t>
      </w:r>
    </w:p>
    <w:p w:rsidR="00BF1A84" w:rsidRPr="00797EE3" w:rsidRDefault="00BF1A84" w:rsidP="002D7202">
      <w:pPr>
        <w:pStyle w:val="TextosemFormatao"/>
        <w:spacing w:beforeAutospacing="0" w:afterAutospacing="0"/>
        <w:ind w:right="-518"/>
        <w:jc w:val="center"/>
        <w:rPr>
          <w:rFonts w:ascii="Times New Roman" w:hAnsi="Times New Roman"/>
          <w:b/>
          <w:sz w:val="24"/>
          <w:szCs w:val="24"/>
          <w:lang w:val="pt-BR"/>
        </w:rPr>
      </w:pPr>
    </w:p>
    <w:p w:rsidR="00367E45" w:rsidRPr="00797EE3" w:rsidRDefault="002B09B4" w:rsidP="008C436D">
      <w:pPr>
        <w:ind w:right="-1"/>
        <w:jc w:val="both"/>
      </w:pPr>
      <w:r w:rsidRPr="00797EE3">
        <w:t>VALDIR JÚNIO MOREIRA SANTOS</w:t>
      </w:r>
      <w:r w:rsidR="006D69DB" w:rsidRPr="00797EE3">
        <w:rPr>
          <w:vertAlign w:val="superscript"/>
        </w:rPr>
        <w:t>1</w:t>
      </w:r>
      <w:r w:rsidR="0020459D" w:rsidRPr="00797EE3">
        <w:t xml:space="preserve">, </w:t>
      </w:r>
      <w:r w:rsidR="00474CD3" w:rsidRPr="00797EE3">
        <w:t>CÉSAR ANTÔNIO DA SILVA</w:t>
      </w:r>
      <w:r w:rsidR="00F300EF" w:rsidRPr="00797EE3">
        <w:rPr>
          <w:vertAlign w:val="superscript"/>
        </w:rPr>
        <w:t>2</w:t>
      </w:r>
      <w:r w:rsidR="00474CD3" w:rsidRPr="00797EE3">
        <w:t xml:space="preserve">, </w:t>
      </w:r>
      <w:r w:rsidR="00F300EF" w:rsidRPr="00797EE3">
        <w:t>DYARLLEN PRADO BARBOSA FILHO</w:t>
      </w:r>
      <w:r w:rsidR="00F300EF" w:rsidRPr="00797EE3">
        <w:rPr>
          <w:vertAlign w:val="superscript"/>
        </w:rPr>
        <w:t>1</w:t>
      </w:r>
      <w:r w:rsidR="00ED7F2F" w:rsidRPr="00797EE3">
        <w:t xml:space="preserve">, </w:t>
      </w:r>
      <w:r w:rsidR="00F300EF" w:rsidRPr="00797EE3">
        <w:t>DIOVANE PINHEIRO DE CARVALHO</w:t>
      </w:r>
      <w:r w:rsidR="00347946" w:rsidRPr="00797EE3">
        <w:rPr>
          <w:vertAlign w:val="superscript"/>
        </w:rPr>
        <w:t>3</w:t>
      </w:r>
      <w:r w:rsidR="00F300EF" w:rsidRPr="00797EE3">
        <w:t xml:space="preserve"> e CÍCERO JOSÉ DA SILVA</w:t>
      </w:r>
      <w:r w:rsidR="00DA381B" w:rsidRPr="00797EE3">
        <w:rPr>
          <w:vertAlign w:val="superscript"/>
        </w:rPr>
        <w:t>2</w:t>
      </w:r>
    </w:p>
    <w:p w:rsidR="00367E45" w:rsidRPr="00797EE3" w:rsidRDefault="00367E45" w:rsidP="00380272">
      <w:pPr>
        <w:ind w:right="-518"/>
        <w:jc w:val="center"/>
      </w:pPr>
    </w:p>
    <w:p w:rsidR="00E74C1E" w:rsidRPr="00797EE3" w:rsidRDefault="0094773C" w:rsidP="0020459D">
      <w:pPr>
        <w:jc w:val="both"/>
        <w:rPr>
          <w:rStyle w:val="Hyperlink"/>
          <w:color w:val="auto"/>
          <w:u w:val="none"/>
        </w:rPr>
      </w:pPr>
      <w:r w:rsidRPr="00797EE3">
        <w:rPr>
          <w:vertAlign w:val="superscript"/>
        </w:rPr>
        <w:t>1</w:t>
      </w:r>
      <w:r w:rsidR="00474CD3" w:rsidRPr="00797EE3">
        <w:t>Graduando em Agronomia, Instituto Federal Goiano</w:t>
      </w:r>
      <w:r w:rsidR="00E74C1E" w:rsidRPr="00797EE3">
        <w:t xml:space="preserve">, </w:t>
      </w:r>
      <w:r w:rsidR="00474CD3" w:rsidRPr="00797EE3">
        <w:t xml:space="preserve">Morrinhos-GO, </w:t>
      </w:r>
      <w:r w:rsidR="00F300EF" w:rsidRPr="00797EE3">
        <w:t>juniovaldir1@gmail.com, dyarllen.prado@estudante.ifgoiano.edu.br</w:t>
      </w:r>
      <w:r w:rsidR="0066176E" w:rsidRPr="00797EE3">
        <w:t>;</w:t>
      </w:r>
    </w:p>
    <w:p w:rsidR="008431A3" w:rsidRPr="00797EE3" w:rsidRDefault="008431A3" w:rsidP="0020459D">
      <w:pPr>
        <w:jc w:val="both"/>
        <w:rPr>
          <w:szCs w:val="22"/>
        </w:rPr>
      </w:pPr>
      <w:r w:rsidRPr="00797EE3">
        <w:rPr>
          <w:szCs w:val="22"/>
          <w:vertAlign w:val="superscript"/>
        </w:rPr>
        <w:t>2</w:t>
      </w:r>
      <w:r w:rsidR="00E56BE7" w:rsidRPr="00797EE3">
        <w:rPr>
          <w:szCs w:val="22"/>
        </w:rPr>
        <w:t xml:space="preserve">Dr. em </w:t>
      </w:r>
      <w:r w:rsidR="00F300EF" w:rsidRPr="00797EE3">
        <w:rPr>
          <w:szCs w:val="22"/>
        </w:rPr>
        <w:t>Irrigação e Drenagem</w:t>
      </w:r>
      <w:r w:rsidR="00E56BE7" w:rsidRPr="00797EE3">
        <w:rPr>
          <w:szCs w:val="22"/>
        </w:rPr>
        <w:t>, Prof.</w:t>
      </w:r>
      <w:r w:rsidRPr="00797EE3">
        <w:rPr>
          <w:szCs w:val="22"/>
        </w:rPr>
        <w:t xml:space="preserve"> </w:t>
      </w:r>
      <w:r w:rsidR="00F300EF" w:rsidRPr="00797EE3">
        <w:rPr>
          <w:szCs w:val="22"/>
        </w:rPr>
        <w:t>IF Goiano, Morrinhos-GO, cesar.antonio@ifgoiano.edu.br, cicero</w:t>
      </w:r>
      <w:r w:rsidR="00347946" w:rsidRPr="00797EE3">
        <w:rPr>
          <w:szCs w:val="22"/>
        </w:rPr>
        <w:t>.silva@ifgoiano.edu.br;</w:t>
      </w:r>
    </w:p>
    <w:p w:rsidR="00E56BE7" w:rsidRPr="00797EE3" w:rsidRDefault="00E56BE7" w:rsidP="0020459D">
      <w:pPr>
        <w:jc w:val="both"/>
      </w:pPr>
      <w:r w:rsidRPr="00797EE3">
        <w:rPr>
          <w:vertAlign w:val="superscript"/>
        </w:rPr>
        <w:t>3</w:t>
      </w:r>
      <w:r w:rsidR="00347946" w:rsidRPr="00797EE3">
        <w:t>Mestrando em Olericultura, IF Goiano, Morrinhos-GO</w:t>
      </w:r>
      <w:r w:rsidRPr="00797EE3">
        <w:t xml:space="preserve">, </w:t>
      </w:r>
      <w:hyperlink r:id="rId7" w:tgtFrame="_blank" w:history="1">
        <w:r w:rsidR="00347946" w:rsidRPr="00797EE3">
          <w:rPr>
            <w:rStyle w:val="Hyperlink"/>
            <w:color w:val="auto"/>
            <w:u w:val="none"/>
            <w:shd w:val="clear" w:color="auto" w:fill="FFFFFF"/>
          </w:rPr>
          <w:t>diovanepc@gmail.com</w:t>
        </w:r>
      </w:hyperlink>
      <w:r w:rsidR="0066176E" w:rsidRPr="00797EE3">
        <w:t>;</w:t>
      </w:r>
    </w:p>
    <w:p w:rsidR="00E56BE7" w:rsidRPr="00797EE3" w:rsidRDefault="00E56BE7" w:rsidP="00E56BE7">
      <w:pPr>
        <w:jc w:val="center"/>
        <w:rPr>
          <w:szCs w:val="22"/>
        </w:rPr>
      </w:pPr>
    </w:p>
    <w:p w:rsidR="00E74C1E" w:rsidRPr="00797EE3" w:rsidRDefault="00E74C1E" w:rsidP="00380272">
      <w:pPr>
        <w:jc w:val="center"/>
        <w:rPr>
          <w:sz w:val="22"/>
          <w:szCs w:val="22"/>
        </w:rPr>
      </w:pPr>
      <w:r w:rsidRPr="00797EE3">
        <w:rPr>
          <w:sz w:val="22"/>
          <w:szCs w:val="22"/>
        </w:rPr>
        <w:t xml:space="preserve">Apresentado no            </w:t>
      </w:r>
    </w:p>
    <w:p w:rsidR="00E74C1E" w:rsidRPr="00797EE3" w:rsidRDefault="00E74C1E" w:rsidP="00380272">
      <w:pPr>
        <w:jc w:val="center"/>
        <w:rPr>
          <w:sz w:val="22"/>
          <w:szCs w:val="22"/>
        </w:rPr>
      </w:pPr>
      <w:r w:rsidRPr="00797EE3">
        <w:rPr>
          <w:sz w:val="22"/>
          <w:szCs w:val="22"/>
        </w:rPr>
        <w:t>Congresso Técnico Científico da Enge</w:t>
      </w:r>
      <w:r w:rsidR="009A1D67" w:rsidRPr="00797EE3">
        <w:rPr>
          <w:sz w:val="22"/>
          <w:szCs w:val="22"/>
        </w:rPr>
        <w:t>nharia e da Agronomia – CONTECC</w:t>
      </w:r>
    </w:p>
    <w:p w:rsidR="00D06A0C" w:rsidRPr="00797EE3" w:rsidRDefault="00B41A39" w:rsidP="00380272">
      <w:pPr>
        <w:jc w:val="center"/>
        <w:rPr>
          <w:sz w:val="22"/>
          <w:szCs w:val="22"/>
        </w:rPr>
      </w:pPr>
      <w:r w:rsidRPr="00797EE3">
        <w:rPr>
          <w:sz w:val="22"/>
          <w:szCs w:val="22"/>
        </w:rPr>
        <w:t>08</w:t>
      </w:r>
      <w:r w:rsidR="00CB3747" w:rsidRPr="00797EE3">
        <w:rPr>
          <w:sz w:val="22"/>
          <w:szCs w:val="22"/>
        </w:rPr>
        <w:t xml:space="preserve"> a </w:t>
      </w:r>
      <w:r w:rsidR="00AD3679" w:rsidRPr="00797EE3">
        <w:rPr>
          <w:sz w:val="22"/>
          <w:szCs w:val="22"/>
        </w:rPr>
        <w:t>1</w:t>
      </w:r>
      <w:r w:rsidRPr="00797EE3">
        <w:rPr>
          <w:sz w:val="22"/>
          <w:szCs w:val="22"/>
        </w:rPr>
        <w:t>1</w:t>
      </w:r>
      <w:r w:rsidR="00CB3747" w:rsidRPr="00797EE3">
        <w:rPr>
          <w:sz w:val="22"/>
          <w:szCs w:val="22"/>
        </w:rPr>
        <w:t xml:space="preserve"> de </w:t>
      </w:r>
      <w:r w:rsidRPr="00797EE3">
        <w:rPr>
          <w:sz w:val="22"/>
          <w:szCs w:val="22"/>
        </w:rPr>
        <w:t>agosto de 2023</w:t>
      </w:r>
    </w:p>
    <w:p w:rsidR="00E74C1E" w:rsidRPr="00797EE3" w:rsidRDefault="00E74C1E" w:rsidP="00380272">
      <w:pPr>
        <w:jc w:val="center"/>
        <w:rPr>
          <w:szCs w:val="22"/>
        </w:rPr>
      </w:pPr>
    </w:p>
    <w:p w:rsidR="009B58A3" w:rsidRPr="00797EE3" w:rsidRDefault="00E74C1E" w:rsidP="009B58A3">
      <w:pPr>
        <w:jc w:val="both"/>
        <w:rPr>
          <w:sz w:val="22"/>
          <w:szCs w:val="22"/>
        </w:rPr>
      </w:pPr>
      <w:r w:rsidRPr="00797EE3">
        <w:rPr>
          <w:b/>
          <w:sz w:val="22"/>
          <w:szCs w:val="22"/>
        </w:rPr>
        <w:t>RESUMO</w:t>
      </w:r>
      <w:r w:rsidRPr="00797EE3">
        <w:rPr>
          <w:sz w:val="22"/>
          <w:szCs w:val="22"/>
        </w:rPr>
        <w:t xml:space="preserve">: </w:t>
      </w:r>
      <w:r w:rsidR="00BF1A84" w:rsidRPr="00797EE3">
        <w:rPr>
          <w:sz w:val="22"/>
          <w:szCs w:val="22"/>
        </w:rPr>
        <w:t xml:space="preserve">Este trabalho objetivou </w:t>
      </w:r>
      <w:r w:rsidR="00CC1CB3" w:rsidRPr="00797EE3">
        <w:rPr>
          <w:sz w:val="22"/>
          <w:szCs w:val="22"/>
        </w:rPr>
        <w:t xml:space="preserve">avaliar </w:t>
      </w:r>
      <w:r w:rsidR="009B58A3" w:rsidRPr="00797EE3">
        <w:rPr>
          <w:sz w:val="22"/>
          <w:szCs w:val="22"/>
        </w:rPr>
        <w:t xml:space="preserve">o desenvolvimento, o potencial hídrico foliar </w:t>
      </w:r>
      <w:r w:rsidR="00ED6A29" w:rsidRPr="00797EE3">
        <w:rPr>
          <w:sz w:val="22"/>
          <w:szCs w:val="22"/>
        </w:rPr>
        <w:t xml:space="preserve">e produção do tomateiro cultivar HMX 7885 F1 </w:t>
      </w:r>
      <w:r w:rsidR="00281420" w:rsidRPr="00797EE3">
        <w:rPr>
          <w:sz w:val="22"/>
          <w:szCs w:val="22"/>
        </w:rPr>
        <w:t>em resposta a</w:t>
      </w:r>
      <w:r w:rsidR="00ED6A29" w:rsidRPr="00797EE3">
        <w:rPr>
          <w:sz w:val="22"/>
          <w:szCs w:val="22"/>
        </w:rPr>
        <w:t xml:space="preserve"> lâminas de irrigação</w:t>
      </w:r>
      <w:r w:rsidR="00E35601" w:rsidRPr="00797EE3">
        <w:rPr>
          <w:sz w:val="22"/>
          <w:szCs w:val="22"/>
        </w:rPr>
        <w:t xml:space="preserve"> por gotejamento</w:t>
      </w:r>
      <w:r w:rsidR="00ED6A29" w:rsidRPr="00797EE3">
        <w:rPr>
          <w:sz w:val="22"/>
          <w:szCs w:val="22"/>
        </w:rPr>
        <w:t xml:space="preserve"> e parcelamentos de adubação de cobertura</w:t>
      </w:r>
      <w:r w:rsidR="00BF1A84" w:rsidRPr="00797EE3">
        <w:rPr>
          <w:sz w:val="22"/>
          <w:szCs w:val="22"/>
        </w:rPr>
        <w:t>.</w:t>
      </w:r>
      <w:r w:rsidR="00ED6A29" w:rsidRPr="00797EE3">
        <w:rPr>
          <w:sz w:val="22"/>
          <w:szCs w:val="22"/>
        </w:rPr>
        <w:t xml:space="preserve"> O experimento foi conduzido em casa de vegetação, no delineamento em blocos ao acaso</w:t>
      </w:r>
      <w:r w:rsidR="004C5EB5" w:rsidRPr="00797EE3">
        <w:rPr>
          <w:sz w:val="22"/>
          <w:szCs w:val="22"/>
        </w:rPr>
        <w:t xml:space="preserve">, </w:t>
      </w:r>
      <w:r w:rsidR="00E35601" w:rsidRPr="00797EE3">
        <w:rPr>
          <w:sz w:val="22"/>
          <w:szCs w:val="22"/>
        </w:rPr>
        <w:t xml:space="preserve">no esquema </w:t>
      </w:r>
      <w:r w:rsidR="004C5EB5" w:rsidRPr="00797EE3">
        <w:rPr>
          <w:sz w:val="22"/>
          <w:szCs w:val="22"/>
        </w:rPr>
        <w:t>em parcelas subdivididas</w:t>
      </w:r>
      <w:r w:rsidR="00E35601" w:rsidRPr="00797EE3">
        <w:rPr>
          <w:sz w:val="22"/>
          <w:szCs w:val="22"/>
        </w:rPr>
        <w:t xml:space="preserve"> 3x5, sendo  três lâminas de irrigação (50%, 100% e 150% da evapotranspiração da cultura - ETc) e cinco parcelamentos da adubação recomendada para cobertura, com nitrogênio e potássio, via fertirrigação. Os parcelamentos foram em doses iguais, a cada 12 dias, 10, 8, 5 e a cada 3 dias. </w:t>
      </w:r>
      <w:r w:rsidR="00460E66" w:rsidRPr="00797EE3">
        <w:rPr>
          <w:sz w:val="22"/>
          <w:szCs w:val="22"/>
        </w:rPr>
        <w:t>Cada</w:t>
      </w:r>
      <w:r w:rsidR="00E35601" w:rsidRPr="00797EE3">
        <w:rPr>
          <w:sz w:val="22"/>
          <w:szCs w:val="22"/>
        </w:rPr>
        <w:t xml:space="preserve"> subparcela foi composta por 4 plantas dispostas em linhas duplas, no espaçamento de 0,4 x 0,6 x 1,3 m. Os tempos de irrigação foram proporcionais à ETc, medida em minilisímetros de pesagem.</w:t>
      </w:r>
      <w:r w:rsidR="009B58A3" w:rsidRPr="00797EE3">
        <w:rPr>
          <w:sz w:val="22"/>
          <w:szCs w:val="22"/>
        </w:rPr>
        <w:t xml:space="preserve"> Apesar da indiferença entre as lâminas, no potencial de água na folha, a irrigação a 150% da ETc, apresentou maior produção de frutos comerciais (0,653 kg planta</w:t>
      </w:r>
      <w:r w:rsidR="009B58A3" w:rsidRPr="00797EE3">
        <w:rPr>
          <w:sz w:val="22"/>
          <w:szCs w:val="22"/>
          <w:vertAlign w:val="superscript"/>
        </w:rPr>
        <w:t>-1</w:t>
      </w:r>
      <w:r w:rsidR="009B58A3" w:rsidRPr="00797EE3">
        <w:rPr>
          <w:sz w:val="22"/>
          <w:szCs w:val="22"/>
        </w:rPr>
        <w:t>). O parcelamento da adubação a cada 3 dias apresentou melhores resultados, sobretudo para altura de plantas.</w:t>
      </w:r>
    </w:p>
    <w:p w:rsidR="00401337" w:rsidRPr="00797EE3" w:rsidRDefault="00401337" w:rsidP="006A044B">
      <w:pPr>
        <w:jc w:val="both"/>
        <w:rPr>
          <w:sz w:val="22"/>
          <w:szCs w:val="22"/>
        </w:rPr>
      </w:pPr>
    </w:p>
    <w:p w:rsidR="005330E9" w:rsidRPr="00797EE3" w:rsidRDefault="00E74C1E" w:rsidP="006A044B">
      <w:pPr>
        <w:jc w:val="both"/>
        <w:rPr>
          <w:sz w:val="22"/>
          <w:szCs w:val="22"/>
        </w:rPr>
      </w:pPr>
      <w:r w:rsidRPr="00797EE3">
        <w:rPr>
          <w:b/>
          <w:sz w:val="22"/>
          <w:szCs w:val="22"/>
        </w:rPr>
        <w:t>PALAVRAS-CHAVE:</w:t>
      </w:r>
      <w:r w:rsidRPr="00797EE3">
        <w:rPr>
          <w:sz w:val="22"/>
          <w:szCs w:val="22"/>
        </w:rPr>
        <w:t xml:space="preserve"> </w:t>
      </w:r>
      <w:r w:rsidR="00E97AB8" w:rsidRPr="00797EE3">
        <w:rPr>
          <w:i/>
          <w:iCs/>
          <w:sz w:val="22"/>
          <w:szCs w:val="22"/>
          <w:lang w:val="la-Latn"/>
        </w:rPr>
        <w:t>Solanum Lycopersicum</w:t>
      </w:r>
      <w:r w:rsidR="00E97AB8" w:rsidRPr="00797EE3">
        <w:rPr>
          <w:sz w:val="22"/>
          <w:szCs w:val="22"/>
        </w:rPr>
        <w:t xml:space="preserve"> L., fertirrigação</w:t>
      </w:r>
      <w:r w:rsidR="006A044B" w:rsidRPr="00797EE3">
        <w:rPr>
          <w:sz w:val="22"/>
          <w:szCs w:val="22"/>
        </w:rPr>
        <w:t xml:space="preserve">, </w:t>
      </w:r>
      <w:r w:rsidR="00E97AB8" w:rsidRPr="00797EE3">
        <w:rPr>
          <w:sz w:val="22"/>
          <w:szCs w:val="22"/>
        </w:rPr>
        <w:t>câmara de Scholander, déficit hídrico</w:t>
      </w:r>
      <w:r w:rsidR="006A044B" w:rsidRPr="00797EE3">
        <w:rPr>
          <w:sz w:val="22"/>
          <w:szCs w:val="22"/>
        </w:rPr>
        <w:t>.</w:t>
      </w:r>
    </w:p>
    <w:p w:rsidR="00E74C1E" w:rsidRPr="00797EE3" w:rsidRDefault="00E74C1E" w:rsidP="00380272">
      <w:pPr>
        <w:jc w:val="center"/>
        <w:rPr>
          <w:szCs w:val="22"/>
        </w:rPr>
      </w:pPr>
    </w:p>
    <w:p w:rsidR="007C462E" w:rsidRPr="00797EE3" w:rsidRDefault="00FF400E" w:rsidP="006D7BEF">
      <w:pPr>
        <w:adjustRightInd w:val="0"/>
        <w:jc w:val="center"/>
        <w:rPr>
          <w:b/>
          <w:sz w:val="22"/>
          <w:szCs w:val="22"/>
          <w:lang w:val="en-US"/>
        </w:rPr>
      </w:pPr>
      <w:r w:rsidRPr="00797EE3">
        <w:rPr>
          <w:b/>
          <w:sz w:val="22"/>
          <w:szCs w:val="22"/>
          <w:lang w:val="en-US"/>
        </w:rPr>
        <w:t xml:space="preserve">LEAF WATER POTENTIAL AND TOMATO PLANT PRODUCTION UNDER IRRIGATION LEVELS AND </w:t>
      </w:r>
      <w:r w:rsidR="007C462E" w:rsidRPr="00797EE3">
        <w:rPr>
          <w:b/>
          <w:sz w:val="22"/>
          <w:szCs w:val="22"/>
          <w:lang w:val="en-US"/>
        </w:rPr>
        <w:t>SPLITTING OF TOPDRESSING FERTILIZATION</w:t>
      </w:r>
    </w:p>
    <w:p w:rsidR="00C82B1E" w:rsidRPr="00797EE3" w:rsidRDefault="00C82B1E" w:rsidP="006D7BEF">
      <w:pPr>
        <w:adjustRightInd w:val="0"/>
        <w:jc w:val="center"/>
        <w:rPr>
          <w:b/>
          <w:sz w:val="22"/>
          <w:szCs w:val="22"/>
          <w:lang w:val="en-US"/>
        </w:rPr>
      </w:pPr>
    </w:p>
    <w:p w:rsidR="00962BB9" w:rsidRPr="00797EE3" w:rsidRDefault="00E74C1E" w:rsidP="00380272">
      <w:pPr>
        <w:ind w:right="-1"/>
        <w:jc w:val="both"/>
        <w:rPr>
          <w:sz w:val="22"/>
          <w:szCs w:val="22"/>
          <w:lang w:val="en-US"/>
        </w:rPr>
      </w:pPr>
      <w:r w:rsidRPr="00797EE3">
        <w:rPr>
          <w:b/>
          <w:sz w:val="22"/>
          <w:szCs w:val="22"/>
          <w:lang w:val="en-US"/>
        </w:rPr>
        <w:t>ABSTRACT</w:t>
      </w:r>
      <w:r w:rsidRPr="00797EE3">
        <w:rPr>
          <w:sz w:val="22"/>
          <w:szCs w:val="22"/>
          <w:lang w:val="en-US"/>
        </w:rPr>
        <w:t>:</w:t>
      </w:r>
      <w:r w:rsidR="00962BB9" w:rsidRPr="00797EE3">
        <w:rPr>
          <w:sz w:val="22"/>
          <w:szCs w:val="22"/>
          <w:lang w:val="en-US"/>
        </w:rPr>
        <w:t xml:space="preserve"> The aim of this work was to evaluate</w:t>
      </w:r>
      <w:r w:rsidR="009B58A3" w:rsidRPr="00797EE3">
        <w:rPr>
          <w:sz w:val="22"/>
          <w:szCs w:val="22"/>
          <w:lang w:val="en-US"/>
        </w:rPr>
        <w:t xml:space="preserve"> the development,</w:t>
      </w:r>
      <w:r w:rsidR="00962BB9" w:rsidRPr="00797EE3">
        <w:rPr>
          <w:sz w:val="22"/>
          <w:szCs w:val="22"/>
          <w:lang w:val="en-US"/>
        </w:rPr>
        <w:t xml:space="preserve"> the leaf water potential and the production of tomato cultivar HMX 7885 F1 </w:t>
      </w:r>
      <w:r w:rsidR="00281420" w:rsidRPr="00797EE3">
        <w:rPr>
          <w:sz w:val="22"/>
          <w:szCs w:val="22"/>
          <w:lang w:val="en-US"/>
        </w:rPr>
        <w:t xml:space="preserve">in response to </w:t>
      </w:r>
      <w:r w:rsidR="00962BB9" w:rsidRPr="00797EE3">
        <w:rPr>
          <w:sz w:val="22"/>
          <w:szCs w:val="22"/>
          <w:lang w:val="en-US"/>
        </w:rPr>
        <w:t xml:space="preserve">drip irrigation </w:t>
      </w:r>
      <w:r w:rsidR="00281420" w:rsidRPr="00797EE3">
        <w:rPr>
          <w:sz w:val="22"/>
          <w:szCs w:val="22"/>
          <w:lang w:val="en-US"/>
        </w:rPr>
        <w:t>levels</w:t>
      </w:r>
      <w:r w:rsidR="00962BB9" w:rsidRPr="00797EE3">
        <w:rPr>
          <w:sz w:val="22"/>
          <w:szCs w:val="22"/>
          <w:lang w:val="en-US"/>
        </w:rPr>
        <w:t xml:space="preserve"> and cover fertilization splits. The experiment was carried out in a greenhouse, in a randomized block design, in a 3x5 split-plot design, with three irrigation levels (50%, 100% and 150% of crop evapotranspiration - ETc) and five splittings of recommended coverage fertilization, with nitrogen and potassium, via fertirrigation. The splitting were in equal doses, every 12 days, 10, 8, 5 and every 3 days. The subplot consists of 4 plants, arranged in double rows, spaced 0.4 x 0.6 x 1.3 m. The irrigation times were proportional to the ETc, measured in weighing mini-lysimeters. </w:t>
      </w:r>
      <w:r w:rsidR="009B58A3" w:rsidRPr="00797EE3">
        <w:rPr>
          <w:sz w:val="22"/>
          <w:szCs w:val="22"/>
          <w:lang w:val="en-US"/>
        </w:rPr>
        <w:t>Despite the indifference between the depths, in the water potential in the leaf, the irrigation at 150% of the ETc, presented greater production of commercial fruits (0.653 kg plant-1). Splitting the fertilizer every 3 days showed better results, especially for plant height.</w:t>
      </w:r>
    </w:p>
    <w:p w:rsidR="00A4006D" w:rsidRPr="00797EE3" w:rsidRDefault="00A4006D" w:rsidP="00380272">
      <w:pPr>
        <w:ind w:right="-1"/>
        <w:jc w:val="both"/>
        <w:rPr>
          <w:sz w:val="22"/>
          <w:szCs w:val="22"/>
          <w:lang w:val="en-US"/>
        </w:rPr>
      </w:pPr>
    </w:p>
    <w:p w:rsidR="00FF400E" w:rsidRPr="00797EE3" w:rsidRDefault="00E74C1E" w:rsidP="00380272">
      <w:pPr>
        <w:ind w:right="-1"/>
        <w:jc w:val="both"/>
        <w:rPr>
          <w:sz w:val="22"/>
          <w:szCs w:val="22"/>
          <w:lang w:val="en-US"/>
        </w:rPr>
      </w:pPr>
      <w:r w:rsidRPr="00797EE3">
        <w:rPr>
          <w:b/>
          <w:sz w:val="22"/>
          <w:szCs w:val="22"/>
          <w:lang w:val="en-US"/>
        </w:rPr>
        <w:t>KEYWORDS:</w:t>
      </w:r>
      <w:r w:rsidRPr="00797EE3">
        <w:rPr>
          <w:sz w:val="22"/>
          <w:szCs w:val="22"/>
          <w:lang w:val="en-US"/>
        </w:rPr>
        <w:t xml:space="preserve"> </w:t>
      </w:r>
      <w:r w:rsidR="00FF400E" w:rsidRPr="00797EE3">
        <w:rPr>
          <w:i/>
          <w:iCs/>
          <w:sz w:val="22"/>
          <w:szCs w:val="22"/>
          <w:lang w:val="la-Latn"/>
        </w:rPr>
        <w:t>Solanum Lycopersicum</w:t>
      </w:r>
      <w:r w:rsidR="00FF400E" w:rsidRPr="00797EE3">
        <w:rPr>
          <w:sz w:val="22"/>
          <w:szCs w:val="22"/>
          <w:lang w:val="en-US"/>
        </w:rPr>
        <w:t xml:space="preserve"> L.</w:t>
      </w:r>
      <w:r w:rsidR="00611409" w:rsidRPr="00797EE3">
        <w:rPr>
          <w:sz w:val="22"/>
          <w:szCs w:val="22"/>
          <w:lang w:val="en-US"/>
        </w:rPr>
        <w:t xml:space="preserve">, </w:t>
      </w:r>
      <w:r w:rsidR="00FF400E" w:rsidRPr="00797EE3">
        <w:rPr>
          <w:sz w:val="22"/>
          <w:szCs w:val="22"/>
          <w:lang w:val="en-US"/>
        </w:rPr>
        <w:t>fertirrigation, Scholander chamber, water deficit</w:t>
      </w:r>
    </w:p>
    <w:p w:rsidR="00611409" w:rsidRDefault="00611409" w:rsidP="00380272">
      <w:pPr>
        <w:pStyle w:val="TextosemFormatao"/>
        <w:spacing w:beforeAutospacing="0" w:afterAutospacing="0"/>
        <w:rPr>
          <w:rFonts w:ascii="Times New Roman" w:hAnsi="Times New Roman"/>
          <w:b/>
          <w:sz w:val="22"/>
          <w:szCs w:val="22"/>
          <w:lang w:val="en-US"/>
        </w:rPr>
      </w:pPr>
    </w:p>
    <w:p w:rsidR="00797EE3" w:rsidRDefault="00797EE3" w:rsidP="00380272">
      <w:pPr>
        <w:pStyle w:val="TextosemFormatao"/>
        <w:spacing w:beforeAutospacing="0" w:afterAutospacing="0"/>
        <w:rPr>
          <w:rFonts w:ascii="Times New Roman" w:hAnsi="Times New Roman"/>
          <w:b/>
          <w:sz w:val="22"/>
          <w:szCs w:val="22"/>
          <w:lang w:val="en-US"/>
        </w:rPr>
      </w:pPr>
    </w:p>
    <w:p w:rsidR="00797EE3" w:rsidRPr="00797EE3" w:rsidRDefault="00797EE3" w:rsidP="00380272">
      <w:pPr>
        <w:pStyle w:val="TextosemFormatao"/>
        <w:spacing w:beforeAutospacing="0" w:afterAutospacing="0"/>
        <w:rPr>
          <w:rFonts w:ascii="Times New Roman" w:hAnsi="Times New Roman"/>
          <w:b/>
          <w:sz w:val="22"/>
          <w:szCs w:val="22"/>
          <w:lang w:val="en-US"/>
        </w:rPr>
      </w:pPr>
    </w:p>
    <w:p w:rsidR="00E74C1E" w:rsidRPr="00797EE3" w:rsidRDefault="00E74C1E" w:rsidP="00380272">
      <w:pPr>
        <w:pStyle w:val="TextosemFormatao"/>
        <w:spacing w:beforeAutospacing="0" w:afterAutospacing="0"/>
        <w:rPr>
          <w:rFonts w:ascii="Times New Roman" w:hAnsi="Times New Roman"/>
          <w:b/>
          <w:sz w:val="22"/>
          <w:szCs w:val="22"/>
          <w:lang w:val="pt-BR"/>
        </w:rPr>
      </w:pPr>
      <w:r w:rsidRPr="00797EE3">
        <w:rPr>
          <w:rFonts w:ascii="Times New Roman" w:hAnsi="Times New Roman"/>
          <w:b/>
          <w:sz w:val="22"/>
          <w:szCs w:val="22"/>
          <w:lang w:val="pt-BR"/>
        </w:rPr>
        <w:t>INTRODUÇÃO</w:t>
      </w:r>
    </w:p>
    <w:p w:rsidR="00281E32" w:rsidRPr="00797EE3" w:rsidRDefault="00281E32" w:rsidP="00281E32">
      <w:pPr>
        <w:pStyle w:val="Corpodetexto"/>
        <w:ind w:firstLine="709"/>
        <w:jc w:val="both"/>
        <w:rPr>
          <w:sz w:val="22"/>
          <w:szCs w:val="22"/>
        </w:rPr>
      </w:pPr>
      <w:r w:rsidRPr="00797EE3">
        <w:rPr>
          <w:sz w:val="22"/>
          <w:szCs w:val="22"/>
        </w:rPr>
        <w:lastRenderedPageBreak/>
        <w:t xml:space="preserve">Em virtude da alta demanda e da boa aceitação do tomate no mercado, seja para consumo in natura ou processamento industrial, a tomaticultura é amplamente difundida no mundo e de grande importância para economia nacional. </w:t>
      </w:r>
      <w:r w:rsidR="004969D4" w:rsidRPr="00797EE3">
        <w:rPr>
          <w:sz w:val="22"/>
          <w:szCs w:val="22"/>
        </w:rPr>
        <w:t>O</w:t>
      </w:r>
      <w:r w:rsidRPr="00797EE3">
        <w:rPr>
          <w:sz w:val="22"/>
          <w:szCs w:val="22"/>
        </w:rPr>
        <w:t xml:space="preserve"> Brasil se destaca entre os países que mais investem em pesquisas </w:t>
      </w:r>
      <w:r w:rsidR="001007A0" w:rsidRPr="00797EE3">
        <w:rPr>
          <w:sz w:val="22"/>
          <w:szCs w:val="22"/>
        </w:rPr>
        <w:t xml:space="preserve">sobre a </w:t>
      </w:r>
      <w:r w:rsidRPr="00797EE3">
        <w:rPr>
          <w:sz w:val="22"/>
          <w:szCs w:val="22"/>
        </w:rPr>
        <w:t xml:space="preserve">cultura do tomateiro, chegando ao posto de 10º maior produtor </w:t>
      </w:r>
      <w:r w:rsidR="001007A0" w:rsidRPr="00797EE3">
        <w:rPr>
          <w:sz w:val="22"/>
          <w:szCs w:val="22"/>
        </w:rPr>
        <w:t xml:space="preserve">de tomate </w:t>
      </w:r>
      <w:r w:rsidRPr="00797EE3">
        <w:rPr>
          <w:sz w:val="22"/>
          <w:szCs w:val="22"/>
        </w:rPr>
        <w:t xml:space="preserve">(Guedes et al., 2021). </w:t>
      </w:r>
    </w:p>
    <w:p w:rsidR="00AD18E2" w:rsidRPr="00797EE3" w:rsidRDefault="00281E32" w:rsidP="00E97AB8">
      <w:pPr>
        <w:pStyle w:val="Corpodetexto"/>
        <w:ind w:firstLine="709"/>
        <w:jc w:val="both"/>
        <w:rPr>
          <w:sz w:val="22"/>
          <w:szCs w:val="22"/>
        </w:rPr>
      </w:pPr>
      <w:r w:rsidRPr="00797EE3">
        <w:rPr>
          <w:sz w:val="22"/>
          <w:szCs w:val="22"/>
        </w:rPr>
        <w:t>O tomateiro (Solanum</w:t>
      </w:r>
      <w:r w:rsidRPr="00797EE3">
        <w:rPr>
          <w:i/>
          <w:iCs/>
          <w:sz w:val="22"/>
          <w:szCs w:val="22"/>
        </w:rPr>
        <w:t xml:space="preserve"> Lycopersicum</w:t>
      </w:r>
      <w:r w:rsidRPr="00797EE3">
        <w:rPr>
          <w:sz w:val="22"/>
          <w:szCs w:val="22"/>
        </w:rPr>
        <w:t xml:space="preserve"> L.) apresenta</w:t>
      </w:r>
      <w:r w:rsidR="00962BB9" w:rsidRPr="00797EE3">
        <w:rPr>
          <w:sz w:val="22"/>
          <w:szCs w:val="22"/>
        </w:rPr>
        <w:t xml:space="preserve"> alta demanda hídrica e nutricional durante seu desenvolvimento e frutificação </w:t>
      </w:r>
      <w:r w:rsidR="00E97AB8" w:rsidRPr="00797EE3">
        <w:rPr>
          <w:sz w:val="22"/>
          <w:szCs w:val="22"/>
        </w:rPr>
        <w:t>(W</w:t>
      </w:r>
      <w:r w:rsidR="007B48D8" w:rsidRPr="00797EE3">
        <w:rPr>
          <w:sz w:val="22"/>
          <w:szCs w:val="22"/>
        </w:rPr>
        <w:t>ang</w:t>
      </w:r>
      <w:r w:rsidR="00E97AB8" w:rsidRPr="00797EE3">
        <w:rPr>
          <w:sz w:val="22"/>
          <w:szCs w:val="22"/>
        </w:rPr>
        <w:t xml:space="preserve"> et al., 202</w:t>
      </w:r>
      <w:r w:rsidR="007B48D8" w:rsidRPr="00797EE3">
        <w:rPr>
          <w:sz w:val="22"/>
          <w:szCs w:val="22"/>
        </w:rPr>
        <w:t>0</w:t>
      </w:r>
      <w:r w:rsidR="00E97AB8" w:rsidRPr="00797EE3">
        <w:rPr>
          <w:sz w:val="22"/>
          <w:szCs w:val="22"/>
        </w:rPr>
        <w:t>). O</w:t>
      </w:r>
      <w:r w:rsidR="00962BB9" w:rsidRPr="00797EE3">
        <w:rPr>
          <w:sz w:val="22"/>
          <w:szCs w:val="22"/>
        </w:rPr>
        <w:t xml:space="preserve"> déficit de umidade do solo </w:t>
      </w:r>
      <w:r w:rsidR="00AD18E2" w:rsidRPr="00797EE3">
        <w:rPr>
          <w:sz w:val="22"/>
          <w:szCs w:val="22"/>
        </w:rPr>
        <w:t>pode ocasionar o murchamento de plantas, menor translocação de nutrientes e, consequentemente, o abortamento de flores. Da mesma forma, o excesso de irrigação é prejudicial, podendo ocasionar perdas de nutrientes disponíveis na solução do solo, como o nitrogênio e o potássio, de alta mobilidade no perfil</w:t>
      </w:r>
      <w:r w:rsidR="006916E5" w:rsidRPr="00797EE3">
        <w:rPr>
          <w:sz w:val="22"/>
          <w:szCs w:val="22"/>
        </w:rPr>
        <w:t xml:space="preserve"> (Santana et al., 2011)</w:t>
      </w:r>
      <w:r w:rsidR="00AD18E2" w:rsidRPr="00797EE3">
        <w:rPr>
          <w:sz w:val="22"/>
          <w:szCs w:val="22"/>
        </w:rPr>
        <w:t>.</w:t>
      </w:r>
    </w:p>
    <w:p w:rsidR="0088322E" w:rsidRPr="00797EE3" w:rsidRDefault="0088322E" w:rsidP="0088322E">
      <w:pPr>
        <w:pStyle w:val="Corpodetexto"/>
        <w:ind w:firstLine="709"/>
        <w:jc w:val="both"/>
        <w:rPr>
          <w:sz w:val="22"/>
          <w:szCs w:val="22"/>
        </w:rPr>
      </w:pPr>
      <w:r w:rsidRPr="00797EE3">
        <w:rPr>
          <w:sz w:val="22"/>
          <w:szCs w:val="22"/>
        </w:rPr>
        <w:t>O déficit de irrigação é uma estratégia que além de economizar a água, que em muitas regiões é um recurso escasso, mostra até que ponto melhora a produção por unidade de água aplicada e a qualidade dos frutos. Apesar da água ser aplicada abaixo da quantidade ideal, essa estratégia não melhora o crescimento, porém ocasiona alterações fisiológicas nas plantas, podendo resultar em melhor eficiência do uso da água, com economia de fertilizantes, chegando a patamares de economia superiores a 25% em relação às fertilizações convencionais (Bezerra, 2018).</w:t>
      </w:r>
    </w:p>
    <w:p w:rsidR="007B48D8" w:rsidRPr="00797EE3" w:rsidRDefault="00E97AB8" w:rsidP="001007A0">
      <w:pPr>
        <w:pStyle w:val="Corpodetexto"/>
        <w:ind w:firstLine="709"/>
        <w:jc w:val="both"/>
        <w:rPr>
          <w:sz w:val="22"/>
          <w:szCs w:val="22"/>
        </w:rPr>
      </w:pPr>
      <w:r w:rsidRPr="00797EE3">
        <w:rPr>
          <w:sz w:val="22"/>
          <w:szCs w:val="22"/>
        </w:rPr>
        <w:t>Apesar d</w:t>
      </w:r>
      <w:r w:rsidR="00E67C3A" w:rsidRPr="00797EE3">
        <w:rPr>
          <w:sz w:val="22"/>
          <w:szCs w:val="22"/>
        </w:rPr>
        <w:t xml:space="preserve">a utilização de diferentes sistemas e estratégias de manejo </w:t>
      </w:r>
      <w:r w:rsidR="001007A0" w:rsidRPr="00797EE3">
        <w:rPr>
          <w:sz w:val="22"/>
          <w:szCs w:val="22"/>
        </w:rPr>
        <w:t xml:space="preserve">da irrigação, em várias regiões ainda são </w:t>
      </w:r>
      <w:r w:rsidRPr="00797EE3">
        <w:rPr>
          <w:sz w:val="22"/>
          <w:szCs w:val="22"/>
        </w:rPr>
        <w:t>praticado</w:t>
      </w:r>
      <w:r w:rsidR="00E67C3A" w:rsidRPr="00797EE3">
        <w:rPr>
          <w:sz w:val="22"/>
          <w:szCs w:val="22"/>
        </w:rPr>
        <w:t xml:space="preserve">s </w:t>
      </w:r>
      <w:r w:rsidRPr="00797EE3">
        <w:rPr>
          <w:sz w:val="22"/>
          <w:szCs w:val="22"/>
        </w:rPr>
        <w:t xml:space="preserve">manejos </w:t>
      </w:r>
      <w:r w:rsidR="00C45075" w:rsidRPr="00797EE3">
        <w:rPr>
          <w:sz w:val="22"/>
          <w:szCs w:val="22"/>
        </w:rPr>
        <w:t xml:space="preserve">empíricos, </w:t>
      </w:r>
      <w:r w:rsidRPr="00797EE3">
        <w:rPr>
          <w:sz w:val="22"/>
          <w:szCs w:val="22"/>
        </w:rPr>
        <w:t>baseados pela própria experiência do produtor</w:t>
      </w:r>
      <w:r w:rsidR="00C45075" w:rsidRPr="00797EE3">
        <w:rPr>
          <w:sz w:val="22"/>
          <w:szCs w:val="22"/>
        </w:rPr>
        <w:t xml:space="preserve"> (Lima et al., 2017; Alves Júnior et al., 2021).</w:t>
      </w:r>
      <w:r w:rsidR="001007A0" w:rsidRPr="00797EE3">
        <w:rPr>
          <w:sz w:val="22"/>
          <w:szCs w:val="22"/>
        </w:rPr>
        <w:t xml:space="preserve"> </w:t>
      </w:r>
      <w:r w:rsidR="007B48D8" w:rsidRPr="00797EE3">
        <w:rPr>
          <w:sz w:val="22"/>
          <w:szCs w:val="22"/>
        </w:rPr>
        <w:t>Em conjunto com o manejo da irrigação, o parcelamento da adubação é prática fundamental para obtenção de boas produtividades</w:t>
      </w:r>
      <w:r w:rsidR="001007A0" w:rsidRPr="00797EE3">
        <w:rPr>
          <w:sz w:val="22"/>
          <w:szCs w:val="22"/>
        </w:rPr>
        <w:t xml:space="preserve">, possibilitando </w:t>
      </w:r>
      <w:r w:rsidR="007B48D8" w:rsidRPr="00797EE3">
        <w:rPr>
          <w:sz w:val="22"/>
          <w:szCs w:val="22"/>
        </w:rPr>
        <w:t>redução de custos, aumento da disponibilidade de nutrientes e otimiza</w:t>
      </w:r>
      <w:r w:rsidR="001007A0" w:rsidRPr="00797EE3">
        <w:rPr>
          <w:sz w:val="22"/>
          <w:szCs w:val="22"/>
        </w:rPr>
        <w:t xml:space="preserve"> </w:t>
      </w:r>
      <w:r w:rsidR="007B48D8" w:rsidRPr="00797EE3">
        <w:rPr>
          <w:sz w:val="22"/>
          <w:szCs w:val="22"/>
        </w:rPr>
        <w:t xml:space="preserve">a aplicação da água e fertilizantes (Fratoni </w:t>
      </w:r>
      <w:r w:rsidR="007B48D8" w:rsidRPr="00797EE3">
        <w:rPr>
          <w:i/>
          <w:iCs/>
          <w:sz w:val="22"/>
          <w:szCs w:val="22"/>
        </w:rPr>
        <w:t>et al</w:t>
      </w:r>
      <w:r w:rsidR="007B48D8" w:rsidRPr="00797EE3">
        <w:rPr>
          <w:sz w:val="22"/>
          <w:szCs w:val="22"/>
        </w:rPr>
        <w:t>., 2016).</w:t>
      </w:r>
    </w:p>
    <w:p w:rsidR="007B48D8" w:rsidRPr="00797EE3" w:rsidRDefault="007B48D8" w:rsidP="007B48D8">
      <w:pPr>
        <w:ind w:firstLine="851"/>
        <w:jc w:val="both"/>
        <w:rPr>
          <w:sz w:val="22"/>
          <w:szCs w:val="22"/>
          <w:shd w:val="clear" w:color="auto" w:fill="FFFFFF"/>
        </w:rPr>
      </w:pPr>
      <w:r w:rsidRPr="00797EE3">
        <w:rPr>
          <w:sz w:val="22"/>
          <w:szCs w:val="22"/>
        </w:rPr>
        <w:t xml:space="preserve">Guedes </w:t>
      </w:r>
      <w:r w:rsidRPr="00797EE3">
        <w:rPr>
          <w:i/>
          <w:iCs/>
          <w:sz w:val="22"/>
          <w:szCs w:val="22"/>
        </w:rPr>
        <w:t>et al</w:t>
      </w:r>
      <w:r w:rsidRPr="00797EE3">
        <w:rPr>
          <w:sz w:val="22"/>
          <w:szCs w:val="22"/>
        </w:rPr>
        <w:t xml:space="preserve">. (2021) ressaltam que o potássio (K) é o nutriente mais extraído </w:t>
      </w:r>
      <w:r w:rsidR="001007A0" w:rsidRPr="00797EE3">
        <w:rPr>
          <w:sz w:val="22"/>
          <w:szCs w:val="22"/>
        </w:rPr>
        <w:t xml:space="preserve">pelo tomateiro. </w:t>
      </w:r>
      <w:r w:rsidRPr="00797EE3">
        <w:rPr>
          <w:sz w:val="22"/>
          <w:szCs w:val="22"/>
        </w:rPr>
        <w:t xml:space="preserve">Portanto, são necessários fertilizantes que proporcionem melhor disponibilidade de nutrientes no solo, aplicados de forma parcelada, conforme </w:t>
      </w:r>
      <w:r w:rsidR="0088322E" w:rsidRPr="00797EE3">
        <w:rPr>
          <w:sz w:val="22"/>
          <w:szCs w:val="22"/>
        </w:rPr>
        <w:t xml:space="preserve">os estádios de desenvolvimento </w:t>
      </w:r>
      <w:r w:rsidRPr="00797EE3">
        <w:rPr>
          <w:sz w:val="22"/>
          <w:szCs w:val="22"/>
        </w:rPr>
        <w:t>da cultura.</w:t>
      </w:r>
    </w:p>
    <w:p w:rsidR="0088322E" w:rsidRPr="00797EE3" w:rsidRDefault="007B48D8" w:rsidP="00281420">
      <w:pPr>
        <w:ind w:firstLine="708"/>
        <w:jc w:val="both"/>
        <w:rPr>
          <w:sz w:val="22"/>
          <w:szCs w:val="22"/>
        </w:rPr>
      </w:pPr>
      <w:r w:rsidRPr="00797EE3">
        <w:rPr>
          <w:sz w:val="22"/>
          <w:szCs w:val="22"/>
          <w:shd w:val="clear" w:color="auto" w:fill="FFFFFF"/>
        </w:rPr>
        <w:t>São escassas as pesquisas sobre parcelamentos de adubação associados ao déficit de irrigação no tomateiro. Também não há recomendações de parcelamento da adubação para novas cultivares de tomateiro, que apresentam alta demanda de nutrientes e marcha de absorção diferenciada, sendo necessárias pesquisas sobre a evapotranspiração da cultura</w:t>
      </w:r>
      <w:r w:rsidR="001007A0" w:rsidRPr="00797EE3">
        <w:rPr>
          <w:sz w:val="22"/>
          <w:szCs w:val="22"/>
          <w:shd w:val="clear" w:color="auto" w:fill="FFFFFF"/>
        </w:rPr>
        <w:t>, potencial de água na folha e sua correlação com a produção de frutos</w:t>
      </w:r>
      <w:r w:rsidRPr="00797EE3">
        <w:rPr>
          <w:sz w:val="22"/>
          <w:szCs w:val="22"/>
          <w:shd w:val="clear" w:color="auto" w:fill="FFFFFF"/>
        </w:rPr>
        <w:t>.</w:t>
      </w:r>
      <w:r w:rsidR="0088322E" w:rsidRPr="00797EE3">
        <w:rPr>
          <w:sz w:val="22"/>
          <w:szCs w:val="22"/>
          <w:shd w:val="clear" w:color="auto" w:fill="FFFFFF"/>
        </w:rPr>
        <w:t xml:space="preserve"> Assim, o objetivo deste trabalho foi avaliar </w:t>
      </w:r>
      <w:r w:rsidR="00281420" w:rsidRPr="00797EE3">
        <w:rPr>
          <w:sz w:val="22"/>
          <w:szCs w:val="22"/>
          <w:shd w:val="clear" w:color="auto" w:fill="FFFFFF"/>
        </w:rPr>
        <w:t>o</w:t>
      </w:r>
      <w:r w:rsidR="009B58A3" w:rsidRPr="00797EE3">
        <w:rPr>
          <w:sz w:val="22"/>
          <w:szCs w:val="22"/>
          <w:shd w:val="clear" w:color="auto" w:fill="FFFFFF"/>
        </w:rPr>
        <w:t xml:space="preserve"> desenvolvimento, o</w:t>
      </w:r>
      <w:r w:rsidR="00281420" w:rsidRPr="00797EE3">
        <w:rPr>
          <w:sz w:val="22"/>
          <w:szCs w:val="22"/>
          <w:shd w:val="clear" w:color="auto" w:fill="FFFFFF"/>
        </w:rPr>
        <w:t xml:space="preserve"> potencial hídrico foliar e a produção d</w:t>
      </w:r>
      <w:r w:rsidR="00281420" w:rsidRPr="00797EE3">
        <w:rPr>
          <w:sz w:val="22"/>
          <w:szCs w:val="22"/>
        </w:rPr>
        <w:t>o tomateiro, cultivar HMX 7885 F1 em resposta a lâminas de irrigação por gotejamento e parcelamentos de adubação de cobertura.</w:t>
      </w:r>
    </w:p>
    <w:p w:rsidR="00CC053E" w:rsidRPr="00797EE3" w:rsidRDefault="00CC053E" w:rsidP="00797EE3">
      <w:pPr>
        <w:pStyle w:val="Corpodetexto"/>
        <w:jc w:val="both"/>
        <w:rPr>
          <w:sz w:val="22"/>
          <w:szCs w:val="22"/>
        </w:rPr>
      </w:pPr>
    </w:p>
    <w:p w:rsidR="00E74C1E" w:rsidRPr="00797EE3" w:rsidRDefault="00E74C1E" w:rsidP="00380272">
      <w:pPr>
        <w:ind w:right="-1"/>
        <w:rPr>
          <w:b/>
          <w:sz w:val="22"/>
          <w:szCs w:val="22"/>
        </w:rPr>
      </w:pPr>
      <w:r w:rsidRPr="00797EE3">
        <w:rPr>
          <w:b/>
          <w:sz w:val="22"/>
          <w:szCs w:val="22"/>
        </w:rPr>
        <w:t>MATERIA</w:t>
      </w:r>
      <w:r w:rsidR="001A5BA0" w:rsidRPr="00797EE3">
        <w:rPr>
          <w:b/>
          <w:sz w:val="22"/>
          <w:szCs w:val="22"/>
        </w:rPr>
        <w:t>L</w:t>
      </w:r>
      <w:r w:rsidRPr="00797EE3">
        <w:rPr>
          <w:b/>
          <w:sz w:val="22"/>
          <w:szCs w:val="22"/>
        </w:rPr>
        <w:t xml:space="preserve"> E MÉTODOS </w:t>
      </w:r>
    </w:p>
    <w:p w:rsidR="00281420" w:rsidRPr="00797EE3" w:rsidRDefault="00E74C1E" w:rsidP="00281420">
      <w:pPr>
        <w:tabs>
          <w:tab w:val="left" w:pos="0"/>
        </w:tabs>
        <w:autoSpaceDE w:val="0"/>
        <w:autoSpaceDN w:val="0"/>
        <w:adjustRightInd w:val="0"/>
        <w:jc w:val="both"/>
        <w:rPr>
          <w:rFonts w:eastAsia="TimesNewRoman"/>
          <w:sz w:val="22"/>
          <w:szCs w:val="22"/>
        </w:rPr>
      </w:pPr>
      <w:r w:rsidRPr="00797EE3">
        <w:rPr>
          <w:sz w:val="22"/>
          <w:szCs w:val="24"/>
        </w:rPr>
        <w:tab/>
      </w:r>
      <w:r w:rsidR="00281420" w:rsidRPr="00797EE3">
        <w:rPr>
          <w:sz w:val="22"/>
          <w:szCs w:val="24"/>
        </w:rPr>
        <w:t>O</w:t>
      </w:r>
      <w:r w:rsidR="00281420" w:rsidRPr="00797EE3">
        <w:rPr>
          <w:sz w:val="22"/>
          <w:szCs w:val="22"/>
        </w:rPr>
        <w:t xml:space="preserve"> experimento foi conduzido em casa de vegetação, situada a </w:t>
      </w:r>
      <w:r w:rsidR="00281420" w:rsidRPr="00797EE3">
        <w:rPr>
          <w:rFonts w:eastAsia="TimesNewRoman"/>
          <w:sz w:val="22"/>
          <w:szCs w:val="22"/>
        </w:rPr>
        <w:t xml:space="preserve">17º49’19” sul e 49º12’11” oeste, numa altitude de aproximadamente 885 m, </w:t>
      </w:r>
      <w:r w:rsidR="00281420" w:rsidRPr="00797EE3">
        <w:rPr>
          <w:sz w:val="22"/>
          <w:szCs w:val="22"/>
        </w:rPr>
        <w:t>no Instituto Federal Goiano – Campus Morrinhos.</w:t>
      </w:r>
    </w:p>
    <w:p w:rsidR="00281420" w:rsidRPr="00797EE3" w:rsidRDefault="00281420" w:rsidP="00281420">
      <w:pPr>
        <w:ind w:firstLine="709"/>
        <w:jc w:val="both"/>
        <w:rPr>
          <w:sz w:val="22"/>
          <w:szCs w:val="22"/>
        </w:rPr>
      </w:pPr>
      <w:r w:rsidRPr="00797EE3">
        <w:rPr>
          <w:sz w:val="22"/>
          <w:szCs w:val="22"/>
        </w:rPr>
        <w:t>Foram utilizadas mudas de tomateiro híbrido HMX 7885 F1, produzidas em viveiro comercial, em bandejas de polietileno de 200 células, sendo o transplante aos 30 dias após a semeadura.</w:t>
      </w:r>
    </w:p>
    <w:p w:rsidR="00281420" w:rsidRPr="00797EE3" w:rsidRDefault="00281420" w:rsidP="00281420">
      <w:pPr>
        <w:ind w:firstLine="709"/>
        <w:jc w:val="both"/>
        <w:rPr>
          <w:sz w:val="22"/>
          <w:szCs w:val="22"/>
        </w:rPr>
      </w:pPr>
      <w:r w:rsidRPr="00797EE3">
        <w:rPr>
          <w:sz w:val="22"/>
          <w:szCs w:val="22"/>
        </w:rPr>
        <w:t>Vasos de 14,5 litros foram preenchidos com solo de textura argilo arenosa, previamente corrigido com calcário dolomítico e fertilizantes, conforme as análises químicas e recomendações para a cultura do tomateiro (Trani et al., 2015). Os vasos foram dispostos em linhas duplas na casa de vegetação, no espaçamento 0,4 m entre plantas, 0,6 m entre linhas simples e 1,3 m entre linhas duplas.</w:t>
      </w:r>
    </w:p>
    <w:p w:rsidR="00281420" w:rsidRPr="00797EE3" w:rsidRDefault="00924010" w:rsidP="00924010">
      <w:pPr>
        <w:ind w:firstLine="709"/>
        <w:jc w:val="both"/>
        <w:rPr>
          <w:sz w:val="22"/>
          <w:szCs w:val="22"/>
        </w:rPr>
      </w:pPr>
      <w:r w:rsidRPr="00797EE3">
        <w:rPr>
          <w:sz w:val="22"/>
          <w:szCs w:val="22"/>
        </w:rPr>
        <w:t>O</w:t>
      </w:r>
      <w:r w:rsidR="00281420" w:rsidRPr="00797EE3">
        <w:rPr>
          <w:sz w:val="22"/>
          <w:szCs w:val="22"/>
        </w:rPr>
        <w:t xml:space="preserve"> delineamento foi o de blocos ao acaso, com três repetições, no esquema de parcelas subdividas 3 x 5, sendo três níveis de irrigação (50%, 100% e 150% da ETc, obtida em minilisímetros de pesagem) e cinco parcelamentos da recomendação de adubação nitrogenada e potássica de cobertura</w:t>
      </w:r>
      <w:r w:rsidRPr="00797EE3">
        <w:rPr>
          <w:sz w:val="22"/>
          <w:szCs w:val="22"/>
        </w:rPr>
        <w:t>, via fertirrigação</w:t>
      </w:r>
      <w:r w:rsidR="00281420" w:rsidRPr="00797EE3">
        <w:rPr>
          <w:sz w:val="22"/>
          <w:szCs w:val="22"/>
        </w:rPr>
        <w:t xml:space="preserve"> (a cada</w:t>
      </w:r>
      <w:r w:rsidRPr="00797EE3">
        <w:rPr>
          <w:sz w:val="22"/>
          <w:szCs w:val="22"/>
        </w:rPr>
        <w:t xml:space="preserve"> </w:t>
      </w:r>
      <w:r w:rsidR="00281420" w:rsidRPr="00797EE3">
        <w:rPr>
          <w:sz w:val="22"/>
          <w:szCs w:val="22"/>
        </w:rPr>
        <w:t>12 dias</w:t>
      </w:r>
      <w:r w:rsidRPr="00797EE3">
        <w:rPr>
          <w:sz w:val="22"/>
          <w:szCs w:val="22"/>
        </w:rPr>
        <w:t xml:space="preserve">, 10, 8, 5 e a cada 3 dias), até completar um ciclo de 120 dias. Os parcelamentos foram aplicados nas subparcelas, em doses iguais, proporcionais ao número de aplicações. Foram utilizadas como fontes de </w:t>
      </w:r>
      <w:r w:rsidR="00281420" w:rsidRPr="00797EE3">
        <w:rPr>
          <w:sz w:val="22"/>
          <w:szCs w:val="22"/>
        </w:rPr>
        <w:t xml:space="preserve">nitrogênio, </w:t>
      </w:r>
      <w:r w:rsidR="006F2857" w:rsidRPr="00797EE3">
        <w:rPr>
          <w:sz w:val="22"/>
          <w:szCs w:val="22"/>
        </w:rPr>
        <w:t xml:space="preserve">a ureia </w:t>
      </w:r>
      <w:r w:rsidRPr="00797EE3">
        <w:rPr>
          <w:sz w:val="22"/>
          <w:szCs w:val="22"/>
        </w:rPr>
        <w:t>(</w:t>
      </w:r>
      <w:r w:rsidR="006F2857" w:rsidRPr="00797EE3">
        <w:rPr>
          <w:sz w:val="22"/>
          <w:szCs w:val="22"/>
        </w:rPr>
        <w:t>45</w:t>
      </w:r>
      <w:r w:rsidRPr="00797EE3">
        <w:rPr>
          <w:sz w:val="22"/>
          <w:szCs w:val="22"/>
        </w:rPr>
        <w:t>% N)</w:t>
      </w:r>
      <w:r w:rsidR="00281420" w:rsidRPr="00797EE3">
        <w:rPr>
          <w:sz w:val="22"/>
          <w:szCs w:val="22"/>
        </w:rPr>
        <w:t xml:space="preserve"> e o nitrato de cálcio</w:t>
      </w:r>
      <w:r w:rsidRPr="00797EE3">
        <w:rPr>
          <w:sz w:val="22"/>
          <w:szCs w:val="22"/>
        </w:rPr>
        <w:t xml:space="preserve"> (</w:t>
      </w:r>
      <w:r w:rsidR="006F2857" w:rsidRPr="00797EE3">
        <w:rPr>
          <w:sz w:val="22"/>
          <w:szCs w:val="22"/>
        </w:rPr>
        <w:t>16</w:t>
      </w:r>
      <w:r w:rsidRPr="00797EE3">
        <w:rPr>
          <w:sz w:val="22"/>
          <w:szCs w:val="22"/>
        </w:rPr>
        <w:t>% N)</w:t>
      </w:r>
      <w:r w:rsidR="00281420" w:rsidRPr="00797EE3">
        <w:rPr>
          <w:sz w:val="22"/>
          <w:szCs w:val="22"/>
        </w:rPr>
        <w:t>, e fonte de potássio, o cloreto de potássio (60% K</w:t>
      </w:r>
      <w:r w:rsidR="00281420" w:rsidRPr="00797EE3">
        <w:rPr>
          <w:sz w:val="22"/>
          <w:szCs w:val="22"/>
          <w:vertAlign w:val="subscript"/>
        </w:rPr>
        <w:t>2</w:t>
      </w:r>
      <w:r w:rsidR="00281420" w:rsidRPr="00797EE3">
        <w:rPr>
          <w:sz w:val="22"/>
          <w:szCs w:val="22"/>
        </w:rPr>
        <w:t>O).</w:t>
      </w:r>
    </w:p>
    <w:p w:rsidR="00281420" w:rsidRPr="00797EE3" w:rsidRDefault="00281420" w:rsidP="00924010">
      <w:pPr>
        <w:ind w:firstLine="851"/>
        <w:jc w:val="both"/>
        <w:rPr>
          <w:sz w:val="22"/>
          <w:szCs w:val="22"/>
        </w:rPr>
      </w:pPr>
      <w:r w:rsidRPr="00797EE3">
        <w:rPr>
          <w:sz w:val="22"/>
          <w:szCs w:val="22"/>
        </w:rPr>
        <w:lastRenderedPageBreak/>
        <w:t xml:space="preserve">Cada subparcela </w:t>
      </w:r>
      <w:r w:rsidR="00924010" w:rsidRPr="00797EE3">
        <w:rPr>
          <w:sz w:val="22"/>
          <w:szCs w:val="22"/>
        </w:rPr>
        <w:t>foi</w:t>
      </w:r>
      <w:r w:rsidRPr="00797EE3">
        <w:rPr>
          <w:sz w:val="22"/>
          <w:szCs w:val="22"/>
        </w:rPr>
        <w:t xml:space="preserve"> constituída de 4 plantas, dispostas em linhas duplas. </w:t>
      </w:r>
      <w:r w:rsidR="00924010" w:rsidRPr="00797EE3">
        <w:rPr>
          <w:sz w:val="22"/>
          <w:szCs w:val="22"/>
        </w:rPr>
        <w:t>Utilizou-se o</w:t>
      </w:r>
      <w:r w:rsidRPr="00797EE3">
        <w:rPr>
          <w:sz w:val="22"/>
          <w:szCs w:val="22"/>
        </w:rPr>
        <w:t xml:space="preserve"> sistema de irrigação por gotejamento, com emissores on-line, autocompensantes, de vazões 2, 4 e 6 L h</w:t>
      </w:r>
      <w:r w:rsidRPr="00797EE3">
        <w:rPr>
          <w:sz w:val="22"/>
          <w:szCs w:val="22"/>
          <w:vertAlign w:val="superscript"/>
        </w:rPr>
        <w:t>-1</w:t>
      </w:r>
      <w:r w:rsidRPr="00797EE3">
        <w:rPr>
          <w:sz w:val="22"/>
          <w:szCs w:val="22"/>
        </w:rPr>
        <w:t xml:space="preserve">, conforme as lâminas, utilizando-se o mesmo tempo de irrigação. A vazão do emissor </w:t>
      </w:r>
      <w:r w:rsidR="00924010" w:rsidRPr="00797EE3">
        <w:rPr>
          <w:sz w:val="22"/>
          <w:szCs w:val="22"/>
        </w:rPr>
        <w:t>foi</w:t>
      </w:r>
      <w:r w:rsidRPr="00797EE3">
        <w:rPr>
          <w:sz w:val="22"/>
          <w:szCs w:val="22"/>
        </w:rPr>
        <w:t xml:space="preserve"> distribuída nas linhas duplas para duas plantas, por meio </w:t>
      </w:r>
      <w:r w:rsidR="00924010" w:rsidRPr="00797EE3">
        <w:rPr>
          <w:sz w:val="22"/>
          <w:szCs w:val="22"/>
        </w:rPr>
        <w:t xml:space="preserve">de conector manifold </w:t>
      </w:r>
      <w:r w:rsidRPr="00797EE3">
        <w:rPr>
          <w:sz w:val="22"/>
          <w:szCs w:val="22"/>
        </w:rPr>
        <w:t xml:space="preserve">de duas saídas, microtubos e estacas gotejadoras. As irrigações </w:t>
      </w:r>
      <w:r w:rsidR="00924010" w:rsidRPr="00797EE3">
        <w:rPr>
          <w:sz w:val="22"/>
          <w:szCs w:val="22"/>
        </w:rPr>
        <w:t>foram</w:t>
      </w:r>
      <w:r w:rsidRPr="00797EE3">
        <w:rPr>
          <w:sz w:val="22"/>
          <w:szCs w:val="22"/>
        </w:rPr>
        <w:t xml:space="preserve"> realizadas aplicando </w:t>
      </w:r>
      <w:r w:rsidR="00924010" w:rsidRPr="00797EE3">
        <w:rPr>
          <w:sz w:val="22"/>
          <w:szCs w:val="22"/>
        </w:rPr>
        <w:t>quatro pulsos</w:t>
      </w:r>
      <w:r w:rsidRPr="00797EE3">
        <w:rPr>
          <w:sz w:val="22"/>
          <w:szCs w:val="22"/>
        </w:rPr>
        <w:t xml:space="preserve"> </w:t>
      </w:r>
      <w:r w:rsidR="00924010" w:rsidRPr="00797EE3">
        <w:rPr>
          <w:sz w:val="22"/>
          <w:szCs w:val="22"/>
        </w:rPr>
        <w:t>diários através de controla</w:t>
      </w:r>
      <w:r w:rsidRPr="00797EE3">
        <w:rPr>
          <w:sz w:val="22"/>
          <w:szCs w:val="22"/>
        </w:rPr>
        <w:t xml:space="preserve">dor Rain Bird e válvulas solenoides, sendo os tempos de irrigação programados a cada três dias, conforme a evapotranspiração média registrada em três </w:t>
      </w:r>
      <w:r w:rsidR="00924010" w:rsidRPr="00797EE3">
        <w:rPr>
          <w:sz w:val="22"/>
          <w:szCs w:val="22"/>
        </w:rPr>
        <w:t>mini</w:t>
      </w:r>
      <w:r w:rsidRPr="00797EE3">
        <w:rPr>
          <w:sz w:val="22"/>
          <w:szCs w:val="22"/>
        </w:rPr>
        <w:t>lisímetros de pesagem.</w:t>
      </w:r>
    </w:p>
    <w:p w:rsidR="00281420" w:rsidRPr="00797EE3" w:rsidRDefault="00281420" w:rsidP="00281420">
      <w:pPr>
        <w:ind w:firstLine="709"/>
        <w:jc w:val="both"/>
        <w:rPr>
          <w:sz w:val="22"/>
          <w:szCs w:val="22"/>
        </w:rPr>
      </w:pPr>
      <w:r w:rsidRPr="00797EE3">
        <w:rPr>
          <w:sz w:val="22"/>
          <w:szCs w:val="22"/>
        </w:rPr>
        <w:t xml:space="preserve">Os </w:t>
      </w:r>
      <w:r w:rsidR="00924010" w:rsidRPr="00797EE3">
        <w:rPr>
          <w:sz w:val="22"/>
          <w:szCs w:val="22"/>
        </w:rPr>
        <w:t>mini</w:t>
      </w:r>
      <w:r w:rsidRPr="00797EE3">
        <w:rPr>
          <w:sz w:val="22"/>
          <w:szCs w:val="22"/>
        </w:rPr>
        <w:t xml:space="preserve">lisímetros </w:t>
      </w:r>
      <w:r w:rsidR="001E4177" w:rsidRPr="00797EE3">
        <w:rPr>
          <w:sz w:val="22"/>
          <w:szCs w:val="22"/>
        </w:rPr>
        <w:t>eram</w:t>
      </w:r>
      <w:r w:rsidRPr="00797EE3">
        <w:rPr>
          <w:sz w:val="22"/>
          <w:szCs w:val="22"/>
        </w:rPr>
        <w:t xml:space="preserve"> pesados em balança com capacidade de 40 kg e precisão de 2 g. A evapotranspiração real da cultura (ETc) e o tempo de irrigação (Ti) </w:t>
      </w:r>
      <w:r w:rsidR="001E4177" w:rsidRPr="00797EE3">
        <w:rPr>
          <w:sz w:val="22"/>
          <w:szCs w:val="22"/>
        </w:rPr>
        <w:t>foram</w:t>
      </w:r>
      <w:r w:rsidRPr="00797EE3">
        <w:rPr>
          <w:sz w:val="22"/>
          <w:szCs w:val="22"/>
        </w:rPr>
        <w:t xml:space="preserve"> determinados em função da massa de água perdida entre duas pesagens consecutivas, conforme as equações 1 e 2. Após pesagem, </w:t>
      </w:r>
      <w:r w:rsidR="001E4177" w:rsidRPr="00797EE3">
        <w:rPr>
          <w:sz w:val="22"/>
          <w:szCs w:val="22"/>
        </w:rPr>
        <w:t xml:space="preserve">era </w:t>
      </w:r>
      <w:r w:rsidRPr="00797EE3">
        <w:rPr>
          <w:sz w:val="22"/>
          <w:szCs w:val="22"/>
        </w:rPr>
        <w:t xml:space="preserve">feita a reposição de água nos </w:t>
      </w:r>
      <w:r w:rsidR="001E4177" w:rsidRPr="00797EE3">
        <w:rPr>
          <w:sz w:val="22"/>
          <w:szCs w:val="22"/>
        </w:rPr>
        <w:t>mini</w:t>
      </w:r>
      <w:r w:rsidRPr="00797EE3">
        <w:rPr>
          <w:sz w:val="22"/>
          <w:szCs w:val="22"/>
        </w:rPr>
        <w:t>lisímetros, conforme as lâminas.</w:t>
      </w:r>
    </w:p>
    <w:p w:rsidR="00281420" w:rsidRPr="00797EE3" w:rsidRDefault="00031194" w:rsidP="00281420">
      <w:pPr>
        <w:pStyle w:val="Standard"/>
        <w:spacing w:line="360" w:lineRule="auto"/>
        <w:jc w:val="both"/>
        <w:rPr>
          <w:rFonts w:ascii="Times New Roman" w:hAnsi="Times New Roman" w:cs="Times New Roman"/>
          <w:sz w:val="22"/>
          <w:szCs w:val="22"/>
        </w:rPr>
      </w:pPr>
      <w:r w:rsidRPr="00797EE3">
        <w:rPr>
          <w:rFonts w:ascii="Times New Roman" w:hAnsi="Times New Roman" w:cs="Times New Roman"/>
          <w:noProof/>
          <w:sz w:val="22"/>
          <w:szCs w:val="22"/>
          <w:lang w:val="en-US" w:eastAsia="en-US" w:bidi="ar-SA"/>
        </w:rPr>
        <w:drawing>
          <wp:inline distT="0" distB="0" distL="0" distR="0">
            <wp:extent cx="1543050" cy="64770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647700"/>
                    </a:xfrm>
                    <a:prstGeom prst="rect">
                      <a:avLst/>
                    </a:prstGeom>
                    <a:noFill/>
                    <a:ln>
                      <a:noFill/>
                    </a:ln>
                  </pic:spPr>
                </pic:pic>
              </a:graphicData>
            </a:graphic>
          </wp:inline>
        </w:drawing>
      </w:r>
      <w:r w:rsidR="00281420" w:rsidRPr="00797EE3">
        <w:rPr>
          <w:rFonts w:ascii="Times New Roman" w:hAnsi="Times New Roman" w:cs="Times New Roman"/>
          <w:sz w:val="22"/>
          <w:szCs w:val="22"/>
        </w:rPr>
        <w:t xml:space="preserve">                                    </w:t>
      </w:r>
      <w:r w:rsidR="00281420" w:rsidRPr="00797EE3">
        <w:rPr>
          <w:rFonts w:ascii="Times New Roman" w:hAnsi="Times New Roman" w:cs="Times New Roman"/>
          <w:iCs/>
          <w:sz w:val="22"/>
          <w:szCs w:val="22"/>
        </w:rPr>
        <w:t>Eq. 1</w:t>
      </w:r>
    </w:p>
    <w:p w:rsidR="00281420" w:rsidRPr="00797EE3" w:rsidRDefault="00031194" w:rsidP="00281420">
      <w:pPr>
        <w:pStyle w:val="Standard"/>
        <w:spacing w:line="360" w:lineRule="auto"/>
        <w:jc w:val="both"/>
        <w:rPr>
          <w:rFonts w:ascii="Times New Roman" w:hAnsi="Times New Roman" w:cs="Times New Roman"/>
          <w:sz w:val="22"/>
          <w:szCs w:val="22"/>
        </w:rPr>
      </w:pPr>
      <w:r w:rsidRPr="00797EE3">
        <w:rPr>
          <w:rFonts w:ascii="Times New Roman" w:hAnsi="Times New Roman" w:cs="Times New Roman"/>
          <w:noProof/>
          <w:sz w:val="22"/>
          <w:szCs w:val="22"/>
          <w:lang w:val="en-US" w:eastAsia="en-US" w:bidi="ar-SA"/>
        </w:rPr>
        <w:drawing>
          <wp:inline distT="0" distB="0" distL="0" distR="0">
            <wp:extent cx="1114425" cy="476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476250"/>
                    </a:xfrm>
                    <a:prstGeom prst="rect">
                      <a:avLst/>
                    </a:prstGeom>
                    <a:noFill/>
                    <a:ln>
                      <a:noFill/>
                    </a:ln>
                  </pic:spPr>
                </pic:pic>
              </a:graphicData>
            </a:graphic>
          </wp:inline>
        </w:drawing>
      </w:r>
      <w:r w:rsidR="00281420" w:rsidRPr="00797EE3">
        <w:rPr>
          <w:rFonts w:ascii="Times New Roman" w:hAnsi="Times New Roman" w:cs="Times New Roman"/>
          <w:sz w:val="22"/>
          <w:szCs w:val="22"/>
        </w:rPr>
        <w:t xml:space="preserve">                               </w:t>
      </w:r>
      <w:r w:rsidR="00797EE3">
        <w:rPr>
          <w:rFonts w:ascii="Times New Roman" w:hAnsi="Times New Roman" w:cs="Times New Roman"/>
          <w:sz w:val="22"/>
          <w:szCs w:val="22"/>
        </w:rPr>
        <w:t xml:space="preserve">  </w:t>
      </w:r>
      <w:r w:rsidR="00281420" w:rsidRPr="00797EE3">
        <w:rPr>
          <w:rFonts w:ascii="Times New Roman" w:hAnsi="Times New Roman" w:cs="Times New Roman"/>
          <w:sz w:val="22"/>
          <w:szCs w:val="22"/>
        </w:rPr>
        <w:t xml:space="preserve">            </w:t>
      </w:r>
      <w:r w:rsidR="00281420" w:rsidRPr="00797EE3">
        <w:rPr>
          <w:rFonts w:ascii="Times New Roman" w:hAnsi="Times New Roman" w:cs="Times New Roman"/>
          <w:iCs/>
          <w:sz w:val="22"/>
          <w:szCs w:val="22"/>
        </w:rPr>
        <w:t>Eq. 2</w:t>
      </w:r>
    </w:p>
    <w:p w:rsidR="00281420" w:rsidRPr="00797EE3" w:rsidRDefault="00281420" w:rsidP="00281420">
      <w:pPr>
        <w:jc w:val="both"/>
        <w:rPr>
          <w:sz w:val="22"/>
          <w:szCs w:val="22"/>
        </w:rPr>
      </w:pPr>
    </w:p>
    <w:p w:rsidR="00281420" w:rsidRPr="00797EE3" w:rsidRDefault="00281420" w:rsidP="00281420">
      <w:pPr>
        <w:ind w:firstLine="709"/>
        <w:jc w:val="both"/>
        <w:rPr>
          <w:sz w:val="22"/>
          <w:szCs w:val="22"/>
        </w:rPr>
      </w:pPr>
      <w:r w:rsidRPr="00797EE3">
        <w:rPr>
          <w:sz w:val="22"/>
          <w:szCs w:val="22"/>
        </w:rPr>
        <w:t>Os tratos culturais, como desbrota, controle de plantas daninhas, insetos praga e doenças</w:t>
      </w:r>
      <w:r w:rsidR="001E4177" w:rsidRPr="00797EE3">
        <w:rPr>
          <w:sz w:val="22"/>
          <w:szCs w:val="22"/>
        </w:rPr>
        <w:t xml:space="preserve"> foram realizados conforme as </w:t>
      </w:r>
      <w:r w:rsidRPr="00797EE3">
        <w:rPr>
          <w:sz w:val="22"/>
          <w:szCs w:val="22"/>
        </w:rPr>
        <w:t>recomendações para a cultura. O tutoramento das plantas</w:t>
      </w:r>
      <w:r w:rsidR="001E4177" w:rsidRPr="00797EE3">
        <w:rPr>
          <w:sz w:val="22"/>
          <w:szCs w:val="22"/>
        </w:rPr>
        <w:t xml:space="preserve"> foi realizado por meio de </w:t>
      </w:r>
      <w:r w:rsidRPr="00797EE3">
        <w:rPr>
          <w:sz w:val="22"/>
          <w:szCs w:val="22"/>
        </w:rPr>
        <w:t>bambus, linhas de fitilho esticadas horizontalmente, as quais d</w:t>
      </w:r>
      <w:r w:rsidR="001E4177" w:rsidRPr="00797EE3">
        <w:rPr>
          <w:sz w:val="22"/>
          <w:szCs w:val="22"/>
        </w:rPr>
        <w:t xml:space="preserve">eram </w:t>
      </w:r>
      <w:r w:rsidRPr="00797EE3">
        <w:rPr>
          <w:sz w:val="22"/>
          <w:szCs w:val="22"/>
        </w:rPr>
        <w:t xml:space="preserve">sustentação à parte aérea das plantas. </w:t>
      </w:r>
      <w:r w:rsidR="001E4177" w:rsidRPr="00797EE3">
        <w:rPr>
          <w:sz w:val="22"/>
          <w:szCs w:val="22"/>
        </w:rPr>
        <w:t>Foram realizadas duas colheitas durante o período de avaliação.</w:t>
      </w:r>
    </w:p>
    <w:p w:rsidR="00281420" w:rsidRPr="00797EE3" w:rsidRDefault="00281420" w:rsidP="00281420">
      <w:pPr>
        <w:ind w:firstLine="709"/>
        <w:jc w:val="both"/>
        <w:rPr>
          <w:sz w:val="22"/>
          <w:szCs w:val="22"/>
        </w:rPr>
      </w:pPr>
      <w:r w:rsidRPr="00797EE3">
        <w:rPr>
          <w:sz w:val="22"/>
          <w:szCs w:val="22"/>
        </w:rPr>
        <w:t>Além da evapotranspiração (mm dia</w:t>
      </w:r>
      <w:r w:rsidRPr="00797EE3">
        <w:rPr>
          <w:sz w:val="22"/>
          <w:szCs w:val="22"/>
          <w:vertAlign w:val="superscript"/>
        </w:rPr>
        <w:t>-1</w:t>
      </w:r>
      <w:r w:rsidRPr="00797EE3">
        <w:rPr>
          <w:sz w:val="22"/>
          <w:szCs w:val="22"/>
        </w:rPr>
        <w:t xml:space="preserve">), </w:t>
      </w:r>
      <w:r w:rsidR="001E4177" w:rsidRPr="00797EE3">
        <w:rPr>
          <w:sz w:val="22"/>
          <w:szCs w:val="22"/>
        </w:rPr>
        <w:t>foram avaliadas as variáveis resposta do</w:t>
      </w:r>
      <w:r w:rsidRPr="00797EE3">
        <w:rPr>
          <w:sz w:val="22"/>
          <w:szCs w:val="22"/>
        </w:rPr>
        <w:t xml:space="preserve"> potencial de água na folha (bar), utilizando câmara de pressão de Scholander</w:t>
      </w:r>
      <w:r w:rsidR="001E4177" w:rsidRPr="00797EE3">
        <w:rPr>
          <w:sz w:val="22"/>
          <w:szCs w:val="22"/>
        </w:rPr>
        <w:t xml:space="preserve"> e </w:t>
      </w:r>
      <w:r w:rsidRPr="00797EE3">
        <w:rPr>
          <w:sz w:val="22"/>
          <w:szCs w:val="22"/>
        </w:rPr>
        <w:t xml:space="preserve">a produtividade (kg </w:t>
      </w:r>
      <w:r w:rsidR="001E4177" w:rsidRPr="00797EE3">
        <w:rPr>
          <w:sz w:val="22"/>
          <w:szCs w:val="22"/>
        </w:rPr>
        <w:t>planta</w:t>
      </w:r>
      <w:r w:rsidRPr="00797EE3">
        <w:rPr>
          <w:sz w:val="22"/>
          <w:szCs w:val="22"/>
          <w:vertAlign w:val="superscript"/>
        </w:rPr>
        <w:t>-1</w:t>
      </w:r>
      <w:r w:rsidRPr="00797EE3">
        <w:rPr>
          <w:sz w:val="22"/>
          <w:szCs w:val="22"/>
        </w:rPr>
        <w:t>)</w:t>
      </w:r>
      <w:r w:rsidR="001E4177" w:rsidRPr="00797EE3">
        <w:rPr>
          <w:sz w:val="22"/>
          <w:szCs w:val="22"/>
        </w:rPr>
        <w:t>.</w:t>
      </w:r>
    </w:p>
    <w:p w:rsidR="00281420" w:rsidRPr="00797EE3" w:rsidRDefault="00281420" w:rsidP="00281420">
      <w:pPr>
        <w:ind w:firstLine="709"/>
        <w:jc w:val="both"/>
        <w:rPr>
          <w:sz w:val="22"/>
          <w:szCs w:val="22"/>
        </w:rPr>
      </w:pPr>
      <w:r w:rsidRPr="00797EE3">
        <w:rPr>
          <w:sz w:val="22"/>
          <w:szCs w:val="22"/>
        </w:rPr>
        <w:t>Os dados</w:t>
      </w:r>
      <w:r w:rsidR="001E4177" w:rsidRPr="00797EE3">
        <w:rPr>
          <w:sz w:val="22"/>
          <w:szCs w:val="22"/>
        </w:rPr>
        <w:t xml:space="preserve"> foram submetidos </w:t>
      </w:r>
      <w:r w:rsidRPr="00797EE3">
        <w:rPr>
          <w:sz w:val="22"/>
          <w:szCs w:val="22"/>
        </w:rPr>
        <w:t>à análise de variância (teste F). Os parâmetros significativos, t</w:t>
      </w:r>
      <w:r w:rsidR="001E4177" w:rsidRPr="00797EE3">
        <w:rPr>
          <w:sz w:val="22"/>
          <w:szCs w:val="22"/>
        </w:rPr>
        <w:t xml:space="preserve">iveram as médias </w:t>
      </w:r>
      <w:r w:rsidRPr="00797EE3">
        <w:rPr>
          <w:sz w:val="22"/>
          <w:szCs w:val="22"/>
        </w:rPr>
        <w:t xml:space="preserve">comparadas pelo teste de </w:t>
      </w:r>
      <w:r w:rsidR="001E4177" w:rsidRPr="00797EE3">
        <w:rPr>
          <w:sz w:val="22"/>
          <w:szCs w:val="22"/>
        </w:rPr>
        <w:t xml:space="preserve">Scott-Knott </w:t>
      </w:r>
      <w:r w:rsidRPr="00797EE3">
        <w:rPr>
          <w:sz w:val="22"/>
          <w:szCs w:val="22"/>
        </w:rPr>
        <w:t>(p&lt;0,01).</w:t>
      </w:r>
    </w:p>
    <w:p w:rsidR="00673440" w:rsidRPr="00797EE3" w:rsidRDefault="00673440" w:rsidP="00673440">
      <w:pPr>
        <w:tabs>
          <w:tab w:val="left" w:pos="0"/>
        </w:tabs>
        <w:autoSpaceDE w:val="0"/>
        <w:autoSpaceDN w:val="0"/>
        <w:adjustRightInd w:val="0"/>
        <w:jc w:val="both"/>
        <w:rPr>
          <w:sz w:val="22"/>
          <w:szCs w:val="22"/>
        </w:rPr>
      </w:pPr>
    </w:p>
    <w:p w:rsidR="00C350B6" w:rsidRPr="00797EE3" w:rsidRDefault="00C350B6" w:rsidP="006F0E1F">
      <w:pPr>
        <w:tabs>
          <w:tab w:val="left" w:pos="0"/>
        </w:tabs>
        <w:autoSpaceDE w:val="0"/>
        <w:autoSpaceDN w:val="0"/>
        <w:adjustRightInd w:val="0"/>
        <w:jc w:val="both"/>
        <w:rPr>
          <w:b/>
          <w:sz w:val="22"/>
          <w:szCs w:val="22"/>
        </w:rPr>
      </w:pPr>
      <w:r w:rsidRPr="00797EE3">
        <w:rPr>
          <w:b/>
          <w:sz w:val="22"/>
          <w:szCs w:val="22"/>
        </w:rPr>
        <w:t>RESULTADOS E DISCUSSÃO</w:t>
      </w:r>
    </w:p>
    <w:p w:rsidR="001E4177" w:rsidRPr="00797EE3" w:rsidRDefault="00837C24" w:rsidP="00837C24">
      <w:pPr>
        <w:ind w:firstLine="567"/>
        <w:jc w:val="both"/>
        <w:rPr>
          <w:sz w:val="22"/>
          <w:szCs w:val="22"/>
        </w:rPr>
      </w:pPr>
      <w:r w:rsidRPr="00797EE3">
        <w:rPr>
          <w:sz w:val="22"/>
          <w:szCs w:val="22"/>
        </w:rPr>
        <w:t>Não houve efeito significativo das lâminas de irrigação na altura das plantas de tomateiro. O resumo das análises de variância (Tabela 1) apresentou diferença significativa (p&lt;0,05) dos parcelamentos da adubação nitrogenada e potássica apenas na altura do tomateiro, aos 31 dias após transplant</w:t>
      </w:r>
      <w:r w:rsidR="00797EE3">
        <w:rPr>
          <w:sz w:val="22"/>
          <w:szCs w:val="22"/>
        </w:rPr>
        <w:t>o</w:t>
      </w:r>
      <w:r w:rsidRPr="00797EE3">
        <w:rPr>
          <w:sz w:val="22"/>
          <w:szCs w:val="22"/>
        </w:rPr>
        <w:t>. Por outro lado, as lâminas de irrigação apenas se diferiram (p&lt;0,05) na produção comercial de frutos, contabilizando duas colheitas</w:t>
      </w:r>
      <w:r w:rsidR="001E4177" w:rsidRPr="00797EE3">
        <w:rPr>
          <w:sz w:val="22"/>
          <w:szCs w:val="22"/>
        </w:rPr>
        <w:t>.</w:t>
      </w:r>
    </w:p>
    <w:p w:rsidR="00837C24" w:rsidRPr="00797EE3" w:rsidRDefault="00837C24" w:rsidP="004969D4">
      <w:pPr>
        <w:ind w:firstLine="709"/>
        <w:jc w:val="both"/>
        <w:rPr>
          <w:sz w:val="22"/>
          <w:szCs w:val="22"/>
        </w:rPr>
      </w:pPr>
    </w:p>
    <w:p w:rsidR="00837C24" w:rsidRPr="00797EE3" w:rsidRDefault="00837C24" w:rsidP="00837C24">
      <w:pPr>
        <w:suppressLineNumbers/>
        <w:jc w:val="both"/>
        <w:rPr>
          <w:sz w:val="22"/>
          <w:szCs w:val="22"/>
        </w:rPr>
      </w:pPr>
      <w:r w:rsidRPr="00797EE3">
        <w:rPr>
          <w:sz w:val="22"/>
          <w:szCs w:val="22"/>
        </w:rPr>
        <w:t>Tabela 1. Resumo de análises de variância da altura de plantas (AP, cm) aos 31 dias após o transplante (DAT), módulo do potencial de água na folha (PAF, MPa) aos 54 dias, e produção comercial de frutos (PCF, kg planta</w:t>
      </w:r>
      <w:r w:rsidRPr="00797EE3">
        <w:rPr>
          <w:sz w:val="22"/>
          <w:szCs w:val="22"/>
          <w:vertAlign w:val="superscript"/>
        </w:rPr>
        <w:t>-1</w:t>
      </w:r>
      <w:r w:rsidRPr="00797EE3">
        <w:rPr>
          <w:sz w:val="22"/>
          <w:szCs w:val="22"/>
        </w:rPr>
        <w:t>) do tomateiro híbrido HMX 7885 F1, em função de lâminas de irrigação e parcelamentos da adubação nitrogenada e potássica em cobertura. Morrinhos – GO, 2023.</w:t>
      </w:r>
    </w:p>
    <w:tbl>
      <w:tblPr>
        <w:tblW w:w="8507" w:type="dxa"/>
        <w:tblLayout w:type="fixed"/>
        <w:tblCellMar>
          <w:left w:w="70" w:type="dxa"/>
          <w:right w:w="70" w:type="dxa"/>
        </w:tblCellMar>
        <w:tblLook w:val="04A0" w:firstRow="1" w:lastRow="0" w:firstColumn="1" w:lastColumn="0" w:noHBand="0" w:noVBand="1"/>
      </w:tblPr>
      <w:tblGrid>
        <w:gridCol w:w="1250"/>
        <w:gridCol w:w="1018"/>
        <w:gridCol w:w="1418"/>
        <w:gridCol w:w="1559"/>
        <w:gridCol w:w="992"/>
        <w:gridCol w:w="709"/>
        <w:gridCol w:w="695"/>
        <w:gridCol w:w="115"/>
        <w:gridCol w:w="751"/>
      </w:tblGrid>
      <w:tr w:rsidR="00072D7C" w:rsidRPr="00797EE3">
        <w:trPr>
          <w:trHeight w:val="183"/>
        </w:trPr>
        <w:tc>
          <w:tcPr>
            <w:tcW w:w="1250" w:type="dxa"/>
            <w:vMerge w:val="restart"/>
            <w:tcBorders>
              <w:top w:val="single" w:sz="4" w:space="0" w:color="auto"/>
              <w:left w:val="nil"/>
              <w:right w:val="nil"/>
            </w:tcBorders>
            <w:noWrap/>
            <w:vAlign w:val="center"/>
            <w:hideMark/>
          </w:tcPr>
          <w:p w:rsidR="00837C24" w:rsidRPr="00797EE3" w:rsidRDefault="00837C24">
            <w:pPr>
              <w:jc w:val="center"/>
            </w:pPr>
            <w:r w:rsidRPr="00797EE3">
              <w:t>Variável resposta</w:t>
            </w:r>
          </w:p>
        </w:tc>
        <w:tc>
          <w:tcPr>
            <w:tcW w:w="4987" w:type="dxa"/>
            <w:gridSpan w:val="4"/>
            <w:tcBorders>
              <w:top w:val="single" w:sz="4" w:space="0" w:color="auto"/>
              <w:left w:val="nil"/>
              <w:bottom w:val="single" w:sz="4" w:space="0" w:color="auto"/>
              <w:right w:val="nil"/>
            </w:tcBorders>
            <w:shd w:val="clear" w:color="auto" w:fill="FFFFFF"/>
            <w:vAlign w:val="center"/>
            <w:hideMark/>
          </w:tcPr>
          <w:p w:rsidR="00837C24" w:rsidRPr="00797EE3" w:rsidRDefault="00837C24">
            <w:pPr>
              <w:jc w:val="center"/>
            </w:pPr>
            <w:r w:rsidRPr="00797EE3">
              <w:rPr>
                <w:bCs/>
              </w:rPr>
              <w:t>Fonte de variação</w:t>
            </w:r>
          </w:p>
        </w:tc>
        <w:tc>
          <w:tcPr>
            <w:tcW w:w="709" w:type="dxa"/>
            <w:vMerge w:val="restart"/>
            <w:tcBorders>
              <w:top w:val="single" w:sz="4" w:space="0" w:color="auto"/>
              <w:left w:val="nil"/>
              <w:bottom w:val="single" w:sz="4" w:space="0" w:color="auto"/>
              <w:right w:val="nil"/>
            </w:tcBorders>
            <w:shd w:val="clear" w:color="auto" w:fill="FFFFFF"/>
            <w:vAlign w:val="center"/>
            <w:hideMark/>
          </w:tcPr>
          <w:p w:rsidR="00837C24" w:rsidRPr="00797EE3" w:rsidRDefault="00837C24">
            <w:pPr>
              <w:jc w:val="center"/>
            </w:pPr>
            <w:r w:rsidRPr="00797EE3">
              <w:rPr>
                <w:bCs/>
              </w:rPr>
              <w:t>CV</w:t>
            </w:r>
            <w:r w:rsidRPr="00797EE3">
              <w:rPr>
                <w:bCs/>
                <w:vertAlign w:val="subscript"/>
              </w:rPr>
              <w:t>I</w:t>
            </w:r>
            <w:r w:rsidRPr="00797EE3">
              <w:rPr>
                <w:bCs/>
              </w:rPr>
              <w:t xml:space="preserve"> (%)</w:t>
            </w:r>
          </w:p>
        </w:tc>
        <w:tc>
          <w:tcPr>
            <w:tcW w:w="810" w:type="dxa"/>
            <w:gridSpan w:val="2"/>
            <w:vMerge w:val="restart"/>
            <w:tcBorders>
              <w:top w:val="single" w:sz="4" w:space="0" w:color="auto"/>
              <w:left w:val="nil"/>
              <w:bottom w:val="single" w:sz="4" w:space="0" w:color="auto"/>
              <w:right w:val="nil"/>
            </w:tcBorders>
            <w:shd w:val="clear" w:color="auto" w:fill="FFFFFF"/>
            <w:vAlign w:val="center"/>
            <w:hideMark/>
          </w:tcPr>
          <w:p w:rsidR="00837C24" w:rsidRPr="00797EE3" w:rsidRDefault="00837C24">
            <w:pPr>
              <w:jc w:val="center"/>
            </w:pPr>
            <w:r w:rsidRPr="00797EE3">
              <w:rPr>
                <w:bCs/>
              </w:rPr>
              <w:t>CV</w:t>
            </w:r>
            <w:r w:rsidRPr="00797EE3">
              <w:rPr>
                <w:bCs/>
                <w:vertAlign w:val="subscript"/>
              </w:rPr>
              <w:t>P</w:t>
            </w:r>
            <w:r w:rsidRPr="00797EE3">
              <w:rPr>
                <w:bCs/>
              </w:rPr>
              <w:t xml:space="preserve"> (%)</w:t>
            </w:r>
          </w:p>
        </w:tc>
        <w:tc>
          <w:tcPr>
            <w:tcW w:w="751" w:type="dxa"/>
            <w:vMerge w:val="restart"/>
            <w:tcBorders>
              <w:top w:val="single" w:sz="4" w:space="0" w:color="auto"/>
              <w:left w:val="nil"/>
              <w:bottom w:val="single" w:sz="4" w:space="0" w:color="auto"/>
              <w:right w:val="nil"/>
            </w:tcBorders>
            <w:shd w:val="clear" w:color="auto" w:fill="FFFFFF"/>
            <w:vAlign w:val="center"/>
            <w:hideMark/>
          </w:tcPr>
          <w:p w:rsidR="00837C24" w:rsidRPr="00797EE3" w:rsidRDefault="00837C24">
            <w:pPr>
              <w:jc w:val="center"/>
            </w:pPr>
            <w:r w:rsidRPr="00797EE3">
              <w:rPr>
                <w:bCs/>
              </w:rPr>
              <w:t>Média geral</w:t>
            </w:r>
          </w:p>
        </w:tc>
      </w:tr>
      <w:tr w:rsidR="00072D7C" w:rsidRPr="00797EE3">
        <w:trPr>
          <w:trHeight w:val="220"/>
        </w:trPr>
        <w:tc>
          <w:tcPr>
            <w:tcW w:w="1250" w:type="dxa"/>
            <w:vMerge/>
            <w:tcBorders>
              <w:left w:val="nil"/>
              <w:right w:val="nil"/>
            </w:tcBorders>
            <w:vAlign w:val="center"/>
            <w:hideMark/>
          </w:tcPr>
          <w:p w:rsidR="00837C24" w:rsidRPr="00797EE3" w:rsidRDefault="00837C24">
            <w:pPr>
              <w:jc w:val="center"/>
            </w:pPr>
          </w:p>
        </w:tc>
        <w:tc>
          <w:tcPr>
            <w:tcW w:w="1018" w:type="dxa"/>
            <w:tcBorders>
              <w:top w:val="single" w:sz="4" w:space="0" w:color="auto"/>
              <w:left w:val="nil"/>
              <w:bottom w:val="single" w:sz="4" w:space="0" w:color="auto"/>
              <w:right w:val="nil"/>
            </w:tcBorders>
            <w:shd w:val="clear" w:color="auto" w:fill="FFFFFF"/>
            <w:vAlign w:val="center"/>
            <w:hideMark/>
          </w:tcPr>
          <w:p w:rsidR="00837C24" w:rsidRPr="00797EE3" w:rsidRDefault="00837C24">
            <w:pPr>
              <w:jc w:val="center"/>
            </w:pPr>
            <w:r w:rsidRPr="00797EE3">
              <w:rPr>
                <w:bCs/>
              </w:rPr>
              <w:t>Bloco</w:t>
            </w:r>
          </w:p>
        </w:tc>
        <w:tc>
          <w:tcPr>
            <w:tcW w:w="1418" w:type="dxa"/>
            <w:tcBorders>
              <w:top w:val="single" w:sz="4" w:space="0" w:color="auto"/>
              <w:left w:val="nil"/>
              <w:bottom w:val="single" w:sz="4" w:space="0" w:color="auto"/>
              <w:right w:val="nil"/>
            </w:tcBorders>
            <w:shd w:val="clear" w:color="auto" w:fill="FFFFFF"/>
            <w:vAlign w:val="center"/>
            <w:hideMark/>
          </w:tcPr>
          <w:p w:rsidR="00837C24" w:rsidRPr="00797EE3" w:rsidRDefault="00837C24">
            <w:pPr>
              <w:jc w:val="center"/>
            </w:pPr>
            <w:r w:rsidRPr="00797EE3">
              <w:rPr>
                <w:bCs/>
              </w:rPr>
              <w:t>Irrigação (I)</w:t>
            </w:r>
          </w:p>
        </w:tc>
        <w:tc>
          <w:tcPr>
            <w:tcW w:w="1559" w:type="dxa"/>
            <w:tcBorders>
              <w:top w:val="single" w:sz="4" w:space="0" w:color="auto"/>
              <w:left w:val="nil"/>
              <w:bottom w:val="single" w:sz="4" w:space="0" w:color="auto"/>
              <w:right w:val="nil"/>
            </w:tcBorders>
            <w:shd w:val="clear" w:color="auto" w:fill="FFFFFF"/>
            <w:vAlign w:val="center"/>
            <w:hideMark/>
          </w:tcPr>
          <w:p w:rsidR="00837C24" w:rsidRPr="00797EE3" w:rsidRDefault="00837C24">
            <w:pPr>
              <w:jc w:val="center"/>
            </w:pPr>
            <w:r w:rsidRPr="00797EE3">
              <w:rPr>
                <w:bCs/>
              </w:rPr>
              <w:t>Parcelamento (P)</w:t>
            </w:r>
          </w:p>
        </w:tc>
        <w:tc>
          <w:tcPr>
            <w:tcW w:w="992" w:type="dxa"/>
            <w:tcBorders>
              <w:top w:val="single" w:sz="4" w:space="0" w:color="auto"/>
              <w:left w:val="nil"/>
              <w:bottom w:val="single" w:sz="4" w:space="0" w:color="auto"/>
              <w:right w:val="nil"/>
            </w:tcBorders>
            <w:shd w:val="clear" w:color="auto" w:fill="FFFFFF"/>
            <w:vAlign w:val="center"/>
            <w:hideMark/>
          </w:tcPr>
          <w:p w:rsidR="00837C24" w:rsidRPr="00797EE3" w:rsidRDefault="00837C24">
            <w:pPr>
              <w:jc w:val="center"/>
            </w:pPr>
            <w:r w:rsidRPr="00797EE3">
              <w:rPr>
                <w:bCs/>
              </w:rPr>
              <w:t>I x P</w:t>
            </w:r>
          </w:p>
        </w:tc>
        <w:tc>
          <w:tcPr>
            <w:tcW w:w="709" w:type="dxa"/>
            <w:vMerge/>
            <w:tcBorders>
              <w:left w:val="nil"/>
              <w:bottom w:val="single" w:sz="4" w:space="0" w:color="auto"/>
              <w:right w:val="nil"/>
            </w:tcBorders>
            <w:vAlign w:val="center"/>
            <w:hideMark/>
          </w:tcPr>
          <w:p w:rsidR="00837C24" w:rsidRPr="00797EE3" w:rsidRDefault="00837C24">
            <w:pPr>
              <w:jc w:val="center"/>
            </w:pPr>
          </w:p>
        </w:tc>
        <w:tc>
          <w:tcPr>
            <w:tcW w:w="810" w:type="dxa"/>
            <w:gridSpan w:val="2"/>
            <w:vMerge/>
            <w:tcBorders>
              <w:left w:val="nil"/>
              <w:bottom w:val="single" w:sz="4" w:space="0" w:color="auto"/>
              <w:right w:val="nil"/>
            </w:tcBorders>
            <w:vAlign w:val="center"/>
            <w:hideMark/>
          </w:tcPr>
          <w:p w:rsidR="00837C24" w:rsidRPr="00797EE3" w:rsidRDefault="00837C24">
            <w:pPr>
              <w:jc w:val="center"/>
            </w:pPr>
          </w:p>
        </w:tc>
        <w:tc>
          <w:tcPr>
            <w:tcW w:w="751" w:type="dxa"/>
            <w:vMerge/>
            <w:tcBorders>
              <w:left w:val="nil"/>
              <w:bottom w:val="single" w:sz="4" w:space="0" w:color="auto"/>
              <w:right w:val="nil"/>
            </w:tcBorders>
            <w:vAlign w:val="center"/>
            <w:hideMark/>
          </w:tcPr>
          <w:p w:rsidR="00837C24" w:rsidRPr="00797EE3" w:rsidRDefault="00837C24">
            <w:pPr>
              <w:jc w:val="center"/>
            </w:pPr>
          </w:p>
        </w:tc>
      </w:tr>
      <w:tr w:rsidR="00072D7C" w:rsidRPr="00797EE3">
        <w:trPr>
          <w:trHeight w:val="61"/>
        </w:trPr>
        <w:tc>
          <w:tcPr>
            <w:tcW w:w="1250" w:type="dxa"/>
            <w:vMerge/>
            <w:tcBorders>
              <w:left w:val="nil"/>
              <w:bottom w:val="single" w:sz="4" w:space="0" w:color="auto"/>
              <w:right w:val="nil"/>
            </w:tcBorders>
            <w:vAlign w:val="center"/>
          </w:tcPr>
          <w:p w:rsidR="00837C24" w:rsidRPr="00797EE3" w:rsidRDefault="00837C24">
            <w:pPr>
              <w:jc w:val="center"/>
            </w:pPr>
          </w:p>
        </w:tc>
        <w:tc>
          <w:tcPr>
            <w:tcW w:w="4987" w:type="dxa"/>
            <w:gridSpan w:val="4"/>
            <w:tcBorders>
              <w:top w:val="single" w:sz="4" w:space="0" w:color="auto"/>
              <w:left w:val="nil"/>
              <w:bottom w:val="single" w:sz="4" w:space="0" w:color="auto"/>
              <w:right w:val="nil"/>
            </w:tcBorders>
            <w:shd w:val="clear" w:color="auto" w:fill="FFFFFF"/>
            <w:vAlign w:val="center"/>
          </w:tcPr>
          <w:p w:rsidR="00837C24" w:rsidRPr="00797EE3" w:rsidRDefault="00837C24">
            <w:pPr>
              <w:jc w:val="center"/>
              <w:rPr>
                <w:bCs/>
              </w:rPr>
            </w:pPr>
            <w:r w:rsidRPr="00797EE3">
              <w:rPr>
                <w:bCs/>
              </w:rPr>
              <w:t>Quadrado médio</w:t>
            </w:r>
          </w:p>
        </w:tc>
        <w:tc>
          <w:tcPr>
            <w:tcW w:w="709" w:type="dxa"/>
            <w:vMerge/>
            <w:tcBorders>
              <w:left w:val="nil"/>
              <w:bottom w:val="single" w:sz="4" w:space="0" w:color="auto"/>
              <w:right w:val="nil"/>
            </w:tcBorders>
            <w:vAlign w:val="center"/>
          </w:tcPr>
          <w:p w:rsidR="00837C24" w:rsidRPr="00797EE3" w:rsidRDefault="00837C24">
            <w:pPr>
              <w:jc w:val="center"/>
            </w:pPr>
          </w:p>
        </w:tc>
        <w:tc>
          <w:tcPr>
            <w:tcW w:w="810" w:type="dxa"/>
            <w:gridSpan w:val="2"/>
            <w:vMerge/>
            <w:tcBorders>
              <w:left w:val="nil"/>
              <w:bottom w:val="single" w:sz="4" w:space="0" w:color="auto"/>
              <w:right w:val="nil"/>
            </w:tcBorders>
            <w:vAlign w:val="center"/>
          </w:tcPr>
          <w:p w:rsidR="00837C24" w:rsidRPr="00797EE3" w:rsidRDefault="00837C24">
            <w:pPr>
              <w:jc w:val="center"/>
            </w:pPr>
          </w:p>
        </w:tc>
        <w:tc>
          <w:tcPr>
            <w:tcW w:w="751" w:type="dxa"/>
            <w:vMerge/>
            <w:tcBorders>
              <w:left w:val="nil"/>
              <w:bottom w:val="single" w:sz="4" w:space="0" w:color="auto"/>
              <w:right w:val="nil"/>
            </w:tcBorders>
            <w:vAlign w:val="center"/>
          </w:tcPr>
          <w:p w:rsidR="00837C24" w:rsidRPr="00797EE3" w:rsidRDefault="00837C24">
            <w:pPr>
              <w:jc w:val="center"/>
            </w:pPr>
          </w:p>
        </w:tc>
      </w:tr>
      <w:tr w:rsidR="00072D7C" w:rsidRPr="00797EE3">
        <w:trPr>
          <w:trHeight w:val="183"/>
        </w:trPr>
        <w:tc>
          <w:tcPr>
            <w:tcW w:w="1250" w:type="dxa"/>
            <w:tcBorders>
              <w:top w:val="single" w:sz="4" w:space="0" w:color="auto"/>
              <w:left w:val="nil"/>
              <w:right w:val="nil"/>
            </w:tcBorders>
            <w:shd w:val="clear" w:color="auto" w:fill="FFFFFF"/>
            <w:vAlign w:val="center"/>
          </w:tcPr>
          <w:p w:rsidR="00837C24" w:rsidRPr="00797EE3" w:rsidRDefault="00837C24">
            <w:pPr>
              <w:jc w:val="center"/>
            </w:pPr>
            <w:r w:rsidRPr="00797EE3">
              <w:t>AP 31 DAT</w:t>
            </w:r>
          </w:p>
        </w:tc>
        <w:tc>
          <w:tcPr>
            <w:tcW w:w="1018" w:type="dxa"/>
            <w:tcBorders>
              <w:top w:val="single" w:sz="4" w:space="0" w:color="auto"/>
              <w:left w:val="nil"/>
              <w:right w:val="nil"/>
            </w:tcBorders>
          </w:tcPr>
          <w:p w:rsidR="00837C24" w:rsidRPr="00797EE3" w:rsidRDefault="00837C24">
            <w:pPr>
              <w:jc w:val="center"/>
            </w:pPr>
            <w:r w:rsidRPr="00797EE3">
              <w:t>101,08</w:t>
            </w:r>
            <w:r w:rsidRPr="00797EE3">
              <w:rPr>
                <w:vertAlign w:val="superscript"/>
              </w:rPr>
              <w:t>NS</w:t>
            </w:r>
          </w:p>
        </w:tc>
        <w:tc>
          <w:tcPr>
            <w:tcW w:w="1418" w:type="dxa"/>
            <w:tcBorders>
              <w:top w:val="single" w:sz="4" w:space="0" w:color="auto"/>
              <w:left w:val="nil"/>
              <w:right w:val="nil"/>
            </w:tcBorders>
          </w:tcPr>
          <w:p w:rsidR="00837C24" w:rsidRPr="00797EE3" w:rsidRDefault="00837C24">
            <w:pPr>
              <w:jc w:val="center"/>
            </w:pPr>
            <w:r w:rsidRPr="00797EE3">
              <w:t>177,77</w:t>
            </w:r>
            <w:r w:rsidRPr="00797EE3">
              <w:rPr>
                <w:vertAlign w:val="superscript"/>
              </w:rPr>
              <w:t>NS</w:t>
            </w:r>
          </w:p>
        </w:tc>
        <w:tc>
          <w:tcPr>
            <w:tcW w:w="1559" w:type="dxa"/>
            <w:tcBorders>
              <w:top w:val="single" w:sz="4" w:space="0" w:color="auto"/>
              <w:left w:val="nil"/>
              <w:right w:val="nil"/>
            </w:tcBorders>
          </w:tcPr>
          <w:p w:rsidR="00837C24" w:rsidRPr="00797EE3" w:rsidRDefault="00837C24">
            <w:pPr>
              <w:jc w:val="center"/>
            </w:pPr>
            <w:r w:rsidRPr="00797EE3">
              <w:t>43,13*</w:t>
            </w:r>
          </w:p>
        </w:tc>
        <w:tc>
          <w:tcPr>
            <w:tcW w:w="992" w:type="dxa"/>
            <w:tcBorders>
              <w:top w:val="single" w:sz="4" w:space="0" w:color="auto"/>
              <w:left w:val="nil"/>
              <w:right w:val="nil"/>
            </w:tcBorders>
          </w:tcPr>
          <w:p w:rsidR="00837C24" w:rsidRPr="00797EE3" w:rsidRDefault="00837C24">
            <w:pPr>
              <w:jc w:val="center"/>
            </w:pPr>
            <w:r w:rsidRPr="00797EE3">
              <w:t>9,28</w:t>
            </w:r>
            <w:r w:rsidRPr="00797EE3">
              <w:rPr>
                <w:vertAlign w:val="superscript"/>
              </w:rPr>
              <w:t>NS</w:t>
            </w:r>
          </w:p>
        </w:tc>
        <w:tc>
          <w:tcPr>
            <w:tcW w:w="709" w:type="dxa"/>
            <w:tcBorders>
              <w:top w:val="single" w:sz="4" w:space="0" w:color="auto"/>
              <w:left w:val="nil"/>
              <w:right w:val="nil"/>
            </w:tcBorders>
          </w:tcPr>
          <w:p w:rsidR="00837C24" w:rsidRPr="00797EE3" w:rsidRDefault="00837C24">
            <w:pPr>
              <w:jc w:val="center"/>
            </w:pPr>
            <w:r w:rsidRPr="00797EE3">
              <w:t>10,26</w:t>
            </w:r>
          </w:p>
        </w:tc>
        <w:tc>
          <w:tcPr>
            <w:tcW w:w="695" w:type="dxa"/>
            <w:tcBorders>
              <w:top w:val="single" w:sz="4" w:space="0" w:color="auto"/>
              <w:left w:val="nil"/>
              <w:right w:val="nil"/>
            </w:tcBorders>
          </w:tcPr>
          <w:p w:rsidR="00837C24" w:rsidRPr="00797EE3" w:rsidRDefault="00837C24">
            <w:pPr>
              <w:jc w:val="center"/>
            </w:pPr>
            <w:r w:rsidRPr="00797EE3">
              <w:t>6,18</w:t>
            </w:r>
          </w:p>
        </w:tc>
        <w:tc>
          <w:tcPr>
            <w:tcW w:w="866" w:type="dxa"/>
            <w:gridSpan w:val="2"/>
            <w:tcBorders>
              <w:top w:val="single" w:sz="4" w:space="0" w:color="auto"/>
              <w:left w:val="nil"/>
              <w:right w:val="nil"/>
            </w:tcBorders>
          </w:tcPr>
          <w:p w:rsidR="00837C24" w:rsidRPr="00797EE3" w:rsidRDefault="00837C24">
            <w:pPr>
              <w:jc w:val="center"/>
            </w:pPr>
            <w:r w:rsidRPr="00797EE3">
              <w:t>54,54</w:t>
            </w:r>
          </w:p>
        </w:tc>
      </w:tr>
      <w:tr w:rsidR="00072D7C" w:rsidRPr="00797EE3">
        <w:trPr>
          <w:trHeight w:val="183"/>
        </w:trPr>
        <w:tc>
          <w:tcPr>
            <w:tcW w:w="1250" w:type="dxa"/>
            <w:tcBorders>
              <w:left w:val="nil"/>
              <w:right w:val="nil"/>
            </w:tcBorders>
            <w:shd w:val="clear" w:color="auto" w:fill="FFFFFF"/>
            <w:vAlign w:val="center"/>
          </w:tcPr>
          <w:p w:rsidR="00837C24" w:rsidRPr="00797EE3" w:rsidRDefault="00837C24">
            <w:pPr>
              <w:jc w:val="center"/>
            </w:pPr>
            <w:r w:rsidRPr="00797EE3">
              <w:t>PAF 54 DAT</w:t>
            </w:r>
          </w:p>
        </w:tc>
        <w:tc>
          <w:tcPr>
            <w:tcW w:w="1018" w:type="dxa"/>
            <w:tcBorders>
              <w:left w:val="nil"/>
              <w:right w:val="nil"/>
            </w:tcBorders>
          </w:tcPr>
          <w:p w:rsidR="00837C24" w:rsidRPr="00797EE3" w:rsidRDefault="00837C24">
            <w:pPr>
              <w:jc w:val="center"/>
              <w:rPr>
                <w:vertAlign w:val="superscript"/>
              </w:rPr>
            </w:pPr>
            <w:r w:rsidRPr="00797EE3">
              <w:t>0,0026</w:t>
            </w:r>
            <w:r w:rsidRPr="00797EE3">
              <w:rPr>
                <w:vertAlign w:val="superscript"/>
              </w:rPr>
              <w:t>NS</w:t>
            </w:r>
          </w:p>
        </w:tc>
        <w:tc>
          <w:tcPr>
            <w:tcW w:w="1418" w:type="dxa"/>
            <w:tcBorders>
              <w:left w:val="nil"/>
              <w:right w:val="nil"/>
            </w:tcBorders>
          </w:tcPr>
          <w:p w:rsidR="00837C24" w:rsidRPr="00797EE3" w:rsidRDefault="00837C24">
            <w:pPr>
              <w:jc w:val="center"/>
              <w:rPr>
                <w:vertAlign w:val="superscript"/>
              </w:rPr>
            </w:pPr>
            <w:r w:rsidRPr="00797EE3">
              <w:t>0,0015</w:t>
            </w:r>
            <w:r w:rsidRPr="00797EE3">
              <w:rPr>
                <w:vertAlign w:val="superscript"/>
              </w:rPr>
              <w:t>NS</w:t>
            </w:r>
          </w:p>
        </w:tc>
        <w:tc>
          <w:tcPr>
            <w:tcW w:w="1559" w:type="dxa"/>
            <w:tcBorders>
              <w:left w:val="nil"/>
              <w:right w:val="nil"/>
            </w:tcBorders>
          </w:tcPr>
          <w:p w:rsidR="00837C24" w:rsidRPr="00797EE3" w:rsidRDefault="00837C24">
            <w:pPr>
              <w:jc w:val="center"/>
            </w:pPr>
            <w:r w:rsidRPr="00797EE3">
              <w:t>0,0022</w:t>
            </w:r>
            <w:r w:rsidRPr="00797EE3">
              <w:rPr>
                <w:vertAlign w:val="superscript"/>
              </w:rPr>
              <w:t>NS</w:t>
            </w:r>
          </w:p>
        </w:tc>
        <w:tc>
          <w:tcPr>
            <w:tcW w:w="992" w:type="dxa"/>
            <w:tcBorders>
              <w:left w:val="nil"/>
              <w:right w:val="nil"/>
            </w:tcBorders>
          </w:tcPr>
          <w:p w:rsidR="00837C24" w:rsidRPr="00797EE3" w:rsidRDefault="00837C24">
            <w:pPr>
              <w:jc w:val="center"/>
              <w:rPr>
                <w:vertAlign w:val="superscript"/>
              </w:rPr>
            </w:pPr>
            <w:r w:rsidRPr="00797EE3">
              <w:t>0,0008</w:t>
            </w:r>
            <w:r w:rsidRPr="00797EE3">
              <w:rPr>
                <w:vertAlign w:val="superscript"/>
              </w:rPr>
              <w:t>NS</w:t>
            </w:r>
          </w:p>
        </w:tc>
        <w:tc>
          <w:tcPr>
            <w:tcW w:w="709" w:type="dxa"/>
            <w:tcBorders>
              <w:left w:val="nil"/>
              <w:right w:val="nil"/>
            </w:tcBorders>
          </w:tcPr>
          <w:p w:rsidR="00837C24" w:rsidRPr="00797EE3" w:rsidRDefault="00837C24">
            <w:pPr>
              <w:jc w:val="center"/>
            </w:pPr>
            <w:r w:rsidRPr="00797EE3">
              <w:t>50,12</w:t>
            </w:r>
          </w:p>
        </w:tc>
        <w:tc>
          <w:tcPr>
            <w:tcW w:w="695" w:type="dxa"/>
            <w:tcBorders>
              <w:left w:val="nil"/>
              <w:right w:val="nil"/>
            </w:tcBorders>
          </w:tcPr>
          <w:p w:rsidR="00837C24" w:rsidRPr="00797EE3" w:rsidRDefault="00837C24">
            <w:pPr>
              <w:jc w:val="center"/>
            </w:pPr>
            <w:r w:rsidRPr="00797EE3">
              <w:t>44,29</w:t>
            </w:r>
          </w:p>
        </w:tc>
        <w:tc>
          <w:tcPr>
            <w:tcW w:w="866" w:type="dxa"/>
            <w:gridSpan w:val="2"/>
            <w:tcBorders>
              <w:left w:val="nil"/>
              <w:right w:val="nil"/>
            </w:tcBorders>
          </w:tcPr>
          <w:p w:rsidR="00837C24" w:rsidRPr="00797EE3" w:rsidRDefault="00837C24">
            <w:pPr>
              <w:jc w:val="center"/>
            </w:pPr>
            <w:r w:rsidRPr="00797EE3">
              <w:t>0,074</w:t>
            </w:r>
          </w:p>
        </w:tc>
      </w:tr>
      <w:tr w:rsidR="00072D7C" w:rsidRPr="00797EE3">
        <w:trPr>
          <w:trHeight w:val="177"/>
        </w:trPr>
        <w:tc>
          <w:tcPr>
            <w:tcW w:w="1250" w:type="dxa"/>
            <w:tcBorders>
              <w:left w:val="nil"/>
              <w:bottom w:val="single" w:sz="4" w:space="0" w:color="auto"/>
              <w:right w:val="nil"/>
            </w:tcBorders>
            <w:shd w:val="clear" w:color="auto" w:fill="FFFFFF"/>
            <w:vAlign w:val="center"/>
          </w:tcPr>
          <w:p w:rsidR="00837C24" w:rsidRPr="00797EE3" w:rsidRDefault="00837C24">
            <w:pPr>
              <w:jc w:val="center"/>
            </w:pPr>
            <w:r w:rsidRPr="00797EE3">
              <w:t>PCF</w:t>
            </w:r>
          </w:p>
        </w:tc>
        <w:tc>
          <w:tcPr>
            <w:tcW w:w="1018" w:type="dxa"/>
            <w:tcBorders>
              <w:left w:val="nil"/>
              <w:bottom w:val="single" w:sz="4" w:space="0" w:color="auto"/>
              <w:right w:val="nil"/>
            </w:tcBorders>
          </w:tcPr>
          <w:p w:rsidR="00837C24" w:rsidRPr="00797EE3" w:rsidRDefault="00837C24">
            <w:pPr>
              <w:jc w:val="center"/>
            </w:pPr>
            <w:r w:rsidRPr="00797EE3">
              <w:t>0,032</w:t>
            </w:r>
            <w:r w:rsidRPr="00797EE3">
              <w:rPr>
                <w:vertAlign w:val="superscript"/>
              </w:rPr>
              <w:t>NS</w:t>
            </w:r>
          </w:p>
        </w:tc>
        <w:tc>
          <w:tcPr>
            <w:tcW w:w="1418" w:type="dxa"/>
            <w:tcBorders>
              <w:left w:val="nil"/>
              <w:bottom w:val="single" w:sz="4" w:space="0" w:color="auto"/>
              <w:right w:val="nil"/>
            </w:tcBorders>
          </w:tcPr>
          <w:p w:rsidR="00837C24" w:rsidRPr="00797EE3" w:rsidRDefault="00837C24">
            <w:pPr>
              <w:jc w:val="center"/>
            </w:pPr>
            <w:r w:rsidRPr="00797EE3">
              <w:t>0,2831*</w:t>
            </w:r>
          </w:p>
        </w:tc>
        <w:tc>
          <w:tcPr>
            <w:tcW w:w="1559" w:type="dxa"/>
            <w:tcBorders>
              <w:left w:val="nil"/>
              <w:bottom w:val="single" w:sz="4" w:space="0" w:color="auto"/>
              <w:right w:val="nil"/>
            </w:tcBorders>
          </w:tcPr>
          <w:p w:rsidR="00837C24" w:rsidRPr="00797EE3" w:rsidRDefault="00837C24">
            <w:pPr>
              <w:jc w:val="center"/>
            </w:pPr>
            <w:r w:rsidRPr="00797EE3">
              <w:t>0,0465</w:t>
            </w:r>
            <w:r w:rsidRPr="00797EE3">
              <w:rPr>
                <w:vertAlign w:val="superscript"/>
              </w:rPr>
              <w:t>NS</w:t>
            </w:r>
          </w:p>
        </w:tc>
        <w:tc>
          <w:tcPr>
            <w:tcW w:w="992" w:type="dxa"/>
            <w:tcBorders>
              <w:left w:val="nil"/>
              <w:bottom w:val="single" w:sz="4" w:space="0" w:color="auto"/>
              <w:right w:val="nil"/>
            </w:tcBorders>
          </w:tcPr>
          <w:p w:rsidR="00837C24" w:rsidRPr="00797EE3" w:rsidRDefault="00837C24">
            <w:pPr>
              <w:jc w:val="center"/>
            </w:pPr>
            <w:r w:rsidRPr="00797EE3">
              <w:t>0,0194</w:t>
            </w:r>
            <w:r w:rsidRPr="00797EE3">
              <w:rPr>
                <w:vertAlign w:val="superscript"/>
              </w:rPr>
              <w:t>NS</w:t>
            </w:r>
          </w:p>
        </w:tc>
        <w:tc>
          <w:tcPr>
            <w:tcW w:w="709" w:type="dxa"/>
            <w:tcBorders>
              <w:left w:val="nil"/>
              <w:bottom w:val="single" w:sz="4" w:space="0" w:color="auto"/>
              <w:right w:val="nil"/>
            </w:tcBorders>
          </w:tcPr>
          <w:p w:rsidR="00837C24" w:rsidRPr="00797EE3" w:rsidRDefault="00837C24">
            <w:pPr>
              <w:jc w:val="center"/>
            </w:pPr>
            <w:r w:rsidRPr="00797EE3">
              <w:t>32,69</w:t>
            </w:r>
          </w:p>
        </w:tc>
        <w:tc>
          <w:tcPr>
            <w:tcW w:w="695" w:type="dxa"/>
            <w:tcBorders>
              <w:left w:val="nil"/>
              <w:bottom w:val="single" w:sz="4" w:space="0" w:color="auto"/>
              <w:right w:val="nil"/>
            </w:tcBorders>
          </w:tcPr>
          <w:p w:rsidR="00837C24" w:rsidRPr="00797EE3" w:rsidRDefault="00837C24">
            <w:pPr>
              <w:jc w:val="center"/>
            </w:pPr>
            <w:r w:rsidRPr="00797EE3">
              <w:t>27,67</w:t>
            </w:r>
          </w:p>
        </w:tc>
        <w:tc>
          <w:tcPr>
            <w:tcW w:w="866" w:type="dxa"/>
            <w:gridSpan w:val="2"/>
            <w:tcBorders>
              <w:left w:val="nil"/>
              <w:bottom w:val="single" w:sz="4" w:space="0" w:color="auto"/>
              <w:right w:val="nil"/>
            </w:tcBorders>
          </w:tcPr>
          <w:p w:rsidR="00837C24" w:rsidRPr="00797EE3" w:rsidRDefault="00837C24">
            <w:pPr>
              <w:jc w:val="center"/>
            </w:pPr>
            <w:r w:rsidRPr="00797EE3">
              <w:t>0,510</w:t>
            </w:r>
          </w:p>
        </w:tc>
      </w:tr>
    </w:tbl>
    <w:p w:rsidR="00837C24" w:rsidRPr="00797EE3" w:rsidRDefault="00837C24" w:rsidP="00837C24">
      <w:r w:rsidRPr="00797EE3">
        <w:rPr>
          <w:vertAlign w:val="superscript"/>
        </w:rPr>
        <w:t>NS</w:t>
      </w:r>
      <w:r w:rsidRPr="00797EE3">
        <w:t xml:space="preserve"> não significativo; </w:t>
      </w:r>
      <w:r w:rsidRPr="00797EE3">
        <w:rPr>
          <w:vertAlign w:val="superscript"/>
        </w:rPr>
        <w:t>*</w:t>
      </w:r>
      <w:r w:rsidRPr="00797EE3">
        <w:t xml:space="preserve"> significativo a 5% de probabilidade; e </w:t>
      </w:r>
      <w:r w:rsidRPr="00797EE3">
        <w:rPr>
          <w:vertAlign w:val="superscript"/>
        </w:rPr>
        <w:t>**</w:t>
      </w:r>
      <w:r w:rsidRPr="00797EE3">
        <w:t xml:space="preserve"> significativo a 1% de probabilidade pelo teste F; CV - coeficiente de variação.</w:t>
      </w:r>
    </w:p>
    <w:p w:rsidR="00837C24" w:rsidRPr="00797EE3" w:rsidRDefault="00837C24" w:rsidP="00837C24">
      <w:pPr>
        <w:jc w:val="both"/>
      </w:pPr>
    </w:p>
    <w:p w:rsidR="00837C24" w:rsidRPr="00797EE3" w:rsidRDefault="00837C24" w:rsidP="004969D4">
      <w:pPr>
        <w:ind w:firstLine="709"/>
        <w:jc w:val="both"/>
        <w:rPr>
          <w:sz w:val="22"/>
          <w:szCs w:val="22"/>
        </w:rPr>
      </w:pPr>
      <w:r w:rsidRPr="00797EE3">
        <w:rPr>
          <w:sz w:val="22"/>
          <w:szCs w:val="22"/>
        </w:rPr>
        <w:lastRenderedPageBreak/>
        <w:t>Conforme os resultados apresentados, é provável que o maior parcelamento da adubação, a cada 3 dias, tenha ocasionado menores perdas de nutrientes, sobretudo do nitrogênio, seja por lixiviação ou volatização, propiciando maior altura das plantas nesse tratamento</w:t>
      </w:r>
      <w:r w:rsidR="00072D7C" w:rsidRPr="00797EE3">
        <w:rPr>
          <w:sz w:val="22"/>
          <w:szCs w:val="22"/>
        </w:rPr>
        <w:t xml:space="preserve"> (Tabela 2</w:t>
      </w:r>
      <w:r w:rsidRPr="00797EE3">
        <w:rPr>
          <w:sz w:val="22"/>
          <w:szCs w:val="22"/>
        </w:rPr>
        <w:t>.</w:t>
      </w:r>
      <w:r w:rsidR="006F2857" w:rsidRPr="00797EE3">
        <w:rPr>
          <w:sz w:val="22"/>
          <w:szCs w:val="22"/>
        </w:rPr>
        <w:t xml:space="preserve"> Na sequência, aparecem os parcelamentos a cada 5, 8 e 10 dias, não diferindo entre si, e por fim, o parcelamento a cada 12 dias, o qual pode ter apresentado maiores perdas e, consequentemente, apresentou plantas de tomateiro de menor altura.</w:t>
      </w:r>
    </w:p>
    <w:p w:rsidR="00837C24" w:rsidRPr="00797EE3" w:rsidRDefault="00837C24" w:rsidP="004969D4">
      <w:pPr>
        <w:ind w:firstLine="709"/>
        <w:jc w:val="both"/>
        <w:rPr>
          <w:sz w:val="22"/>
          <w:szCs w:val="22"/>
        </w:rPr>
      </w:pPr>
    </w:p>
    <w:p w:rsidR="006F2857" w:rsidRPr="00797EE3" w:rsidRDefault="006F2857" w:rsidP="006F2857">
      <w:pPr>
        <w:suppressLineNumbers/>
        <w:jc w:val="both"/>
        <w:rPr>
          <w:sz w:val="22"/>
          <w:szCs w:val="22"/>
        </w:rPr>
      </w:pPr>
      <w:r w:rsidRPr="00797EE3">
        <w:rPr>
          <w:sz w:val="22"/>
          <w:szCs w:val="22"/>
        </w:rPr>
        <w:t>Tabela 2. Altura de plantas (AP, cm) aos 31 dias após o transplante (DAT) e produção comercial de frutos (PCF, kg planta</w:t>
      </w:r>
      <w:r w:rsidRPr="00797EE3">
        <w:rPr>
          <w:sz w:val="22"/>
          <w:szCs w:val="22"/>
          <w:vertAlign w:val="superscript"/>
        </w:rPr>
        <w:t>-1</w:t>
      </w:r>
      <w:r w:rsidRPr="00797EE3">
        <w:rPr>
          <w:sz w:val="22"/>
          <w:szCs w:val="22"/>
        </w:rPr>
        <w:t>) do tomateiro híbrido HMX 7885 F1, em função de lâminas de irrigação e parcelamentos da adubação nitrogenada e potássica em cobertura. Morrinhos – GO, 2023..</w:t>
      </w:r>
    </w:p>
    <w:tbl>
      <w:tblPr>
        <w:tblW w:w="8640" w:type="dxa"/>
        <w:tblCellMar>
          <w:left w:w="70" w:type="dxa"/>
          <w:right w:w="70" w:type="dxa"/>
        </w:tblCellMar>
        <w:tblLook w:val="04A0" w:firstRow="1" w:lastRow="0" w:firstColumn="1" w:lastColumn="0" w:noHBand="0" w:noVBand="1"/>
      </w:tblPr>
      <w:tblGrid>
        <w:gridCol w:w="1920"/>
        <w:gridCol w:w="960"/>
        <w:gridCol w:w="960"/>
        <w:gridCol w:w="960"/>
        <w:gridCol w:w="960"/>
        <w:gridCol w:w="960"/>
        <w:gridCol w:w="960"/>
        <w:gridCol w:w="960"/>
      </w:tblGrid>
      <w:tr w:rsidR="00072D7C" w:rsidRPr="00797EE3">
        <w:trPr>
          <w:trHeight w:val="142"/>
        </w:trPr>
        <w:tc>
          <w:tcPr>
            <w:tcW w:w="1920" w:type="dxa"/>
            <w:vMerge w:val="restart"/>
            <w:tcBorders>
              <w:top w:val="single" w:sz="8" w:space="0" w:color="auto"/>
              <w:left w:val="nil"/>
              <w:bottom w:val="single" w:sz="8" w:space="0" w:color="000000"/>
              <w:right w:val="nil"/>
            </w:tcBorders>
            <w:shd w:val="clear" w:color="auto" w:fill="auto"/>
            <w:vAlign w:val="center"/>
            <w:hideMark/>
          </w:tcPr>
          <w:p w:rsidR="006F2857" w:rsidRPr="00797EE3" w:rsidRDefault="006F2857">
            <w:pPr>
              <w:jc w:val="center"/>
            </w:pPr>
            <w:r w:rsidRPr="00797EE3">
              <w:t>Variável resposta</w:t>
            </w:r>
          </w:p>
        </w:tc>
        <w:tc>
          <w:tcPr>
            <w:tcW w:w="960" w:type="dxa"/>
            <w:vMerge w:val="restart"/>
            <w:tcBorders>
              <w:top w:val="single" w:sz="8" w:space="0" w:color="auto"/>
              <w:left w:val="nil"/>
              <w:bottom w:val="single" w:sz="8" w:space="0" w:color="000000"/>
              <w:right w:val="nil"/>
            </w:tcBorders>
            <w:shd w:val="clear" w:color="auto" w:fill="auto"/>
            <w:vAlign w:val="center"/>
            <w:hideMark/>
          </w:tcPr>
          <w:p w:rsidR="006F2857" w:rsidRPr="00797EE3" w:rsidRDefault="006F2857">
            <w:pPr>
              <w:jc w:val="center"/>
            </w:pPr>
            <w:r w:rsidRPr="00797EE3">
              <w:t>Lâminas Irrigação (% ETc)</w:t>
            </w:r>
          </w:p>
        </w:tc>
        <w:tc>
          <w:tcPr>
            <w:tcW w:w="4800" w:type="dxa"/>
            <w:gridSpan w:val="5"/>
            <w:tcBorders>
              <w:top w:val="single" w:sz="8" w:space="0" w:color="auto"/>
              <w:left w:val="nil"/>
              <w:bottom w:val="single" w:sz="8" w:space="0" w:color="auto"/>
              <w:right w:val="nil"/>
            </w:tcBorders>
            <w:shd w:val="clear" w:color="auto" w:fill="auto"/>
            <w:vAlign w:val="center"/>
            <w:hideMark/>
          </w:tcPr>
          <w:p w:rsidR="006F2857" w:rsidRPr="00797EE3" w:rsidRDefault="006F2857">
            <w:pPr>
              <w:jc w:val="center"/>
            </w:pPr>
            <w:r w:rsidRPr="00797EE3">
              <w:t>Parcelamentos da adubação de coberturas (dias entre aplicações)</w:t>
            </w:r>
          </w:p>
        </w:tc>
        <w:tc>
          <w:tcPr>
            <w:tcW w:w="960" w:type="dxa"/>
            <w:vMerge w:val="restart"/>
            <w:tcBorders>
              <w:top w:val="single" w:sz="8" w:space="0" w:color="auto"/>
              <w:left w:val="nil"/>
              <w:bottom w:val="single" w:sz="8" w:space="0" w:color="000000"/>
              <w:right w:val="nil"/>
            </w:tcBorders>
            <w:shd w:val="clear" w:color="auto" w:fill="auto"/>
            <w:vAlign w:val="center"/>
            <w:hideMark/>
          </w:tcPr>
          <w:p w:rsidR="006F2857" w:rsidRPr="00797EE3" w:rsidRDefault="006F2857">
            <w:pPr>
              <w:jc w:val="center"/>
            </w:pPr>
            <w:r w:rsidRPr="00797EE3">
              <w:t>Média</w:t>
            </w:r>
          </w:p>
        </w:tc>
      </w:tr>
      <w:tr w:rsidR="00072D7C" w:rsidRPr="00797EE3">
        <w:trPr>
          <w:trHeight w:val="142"/>
        </w:trPr>
        <w:tc>
          <w:tcPr>
            <w:tcW w:w="1920" w:type="dxa"/>
            <w:vMerge/>
            <w:tcBorders>
              <w:top w:val="single" w:sz="8" w:space="0" w:color="auto"/>
              <w:left w:val="nil"/>
              <w:bottom w:val="single" w:sz="8" w:space="0" w:color="000000"/>
              <w:right w:val="nil"/>
            </w:tcBorders>
            <w:vAlign w:val="center"/>
            <w:hideMark/>
          </w:tcPr>
          <w:p w:rsidR="006F2857" w:rsidRPr="00797EE3" w:rsidRDefault="006F2857"/>
        </w:tc>
        <w:tc>
          <w:tcPr>
            <w:tcW w:w="960" w:type="dxa"/>
            <w:vMerge/>
            <w:tcBorders>
              <w:top w:val="single" w:sz="8" w:space="0" w:color="auto"/>
              <w:left w:val="nil"/>
              <w:bottom w:val="single" w:sz="8" w:space="0" w:color="000000"/>
              <w:right w:val="nil"/>
            </w:tcBorders>
            <w:vAlign w:val="center"/>
            <w:hideMark/>
          </w:tcPr>
          <w:p w:rsidR="006F2857" w:rsidRPr="00797EE3" w:rsidRDefault="006F2857"/>
        </w:tc>
        <w:tc>
          <w:tcPr>
            <w:tcW w:w="960" w:type="dxa"/>
            <w:tcBorders>
              <w:top w:val="nil"/>
              <w:left w:val="nil"/>
              <w:bottom w:val="single" w:sz="8" w:space="0" w:color="auto"/>
              <w:right w:val="nil"/>
            </w:tcBorders>
            <w:shd w:val="clear" w:color="auto" w:fill="auto"/>
            <w:vAlign w:val="center"/>
            <w:hideMark/>
          </w:tcPr>
          <w:p w:rsidR="006F2857" w:rsidRPr="00797EE3" w:rsidRDefault="006F2857">
            <w:pPr>
              <w:jc w:val="center"/>
            </w:pPr>
            <w:r w:rsidRPr="00797EE3">
              <w:t>12</w:t>
            </w:r>
          </w:p>
        </w:tc>
        <w:tc>
          <w:tcPr>
            <w:tcW w:w="960" w:type="dxa"/>
            <w:tcBorders>
              <w:top w:val="nil"/>
              <w:left w:val="nil"/>
              <w:bottom w:val="single" w:sz="8" w:space="0" w:color="auto"/>
              <w:right w:val="nil"/>
            </w:tcBorders>
            <w:shd w:val="clear" w:color="auto" w:fill="auto"/>
            <w:vAlign w:val="center"/>
            <w:hideMark/>
          </w:tcPr>
          <w:p w:rsidR="006F2857" w:rsidRPr="00797EE3" w:rsidRDefault="006F2857">
            <w:pPr>
              <w:jc w:val="center"/>
            </w:pPr>
            <w:r w:rsidRPr="00797EE3">
              <w:t>10</w:t>
            </w:r>
          </w:p>
        </w:tc>
        <w:tc>
          <w:tcPr>
            <w:tcW w:w="960" w:type="dxa"/>
            <w:tcBorders>
              <w:top w:val="nil"/>
              <w:left w:val="nil"/>
              <w:bottom w:val="single" w:sz="8" w:space="0" w:color="auto"/>
              <w:right w:val="nil"/>
            </w:tcBorders>
            <w:shd w:val="clear" w:color="auto" w:fill="auto"/>
            <w:vAlign w:val="center"/>
            <w:hideMark/>
          </w:tcPr>
          <w:p w:rsidR="006F2857" w:rsidRPr="00797EE3" w:rsidRDefault="006F2857">
            <w:pPr>
              <w:jc w:val="center"/>
            </w:pPr>
            <w:r w:rsidRPr="00797EE3">
              <w:t>8</w:t>
            </w:r>
          </w:p>
        </w:tc>
        <w:tc>
          <w:tcPr>
            <w:tcW w:w="960" w:type="dxa"/>
            <w:tcBorders>
              <w:top w:val="nil"/>
              <w:left w:val="nil"/>
              <w:bottom w:val="single" w:sz="8" w:space="0" w:color="auto"/>
              <w:right w:val="nil"/>
            </w:tcBorders>
            <w:shd w:val="clear" w:color="auto" w:fill="auto"/>
            <w:vAlign w:val="center"/>
            <w:hideMark/>
          </w:tcPr>
          <w:p w:rsidR="006F2857" w:rsidRPr="00797EE3" w:rsidRDefault="006F2857">
            <w:pPr>
              <w:jc w:val="center"/>
            </w:pPr>
            <w:r w:rsidRPr="00797EE3">
              <w:t>5</w:t>
            </w:r>
          </w:p>
        </w:tc>
        <w:tc>
          <w:tcPr>
            <w:tcW w:w="960" w:type="dxa"/>
            <w:tcBorders>
              <w:top w:val="nil"/>
              <w:left w:val="nil"/>
              <w:bottom w:val="single" w:sz="8" w:space="0" w:color="auto"/>
              <w:right w:val="nil"/>
            </w:tcBorders>
            <w:shd w:val="clear" w:color="auto" w:fill="auto"/>
            <w:vAlign w:val="center"/>
            <w:hideMark/>
          </w:tcPr>
          <w:p w:rsidR="006F2857" w:rsidRPr="00797EE3" w:rsidRDefault="006F2857">
            <w:pPr>
              <w:jc w:val="center"/>
            </w:pPr>
            <w:r w:rsidRPr="00797EE3">
              <w:t>3</w:t>
            </w:r>
          </w:p>
        </w:tc>
        <w:tc>
          <w:tcPr>
            <w:tcW w:w="960" w:type="dxa"/>
            <w:vMerge/>
            <w:tcBorders>
              <w:top w:val="single" w:sz="8" w:space="0" w:color="auto"/>
              <w:left w:val="nil"/>
              <w:bottom w:val="single" w:sz="8" w:space="0" w:color="000000"/>
              <w:right w:val="nil"/>
            </w:tcBorders>
            <w:vAlign w:val="center"/>
            <w:hideMark/>
          </w:tcPr>
          <w:p w:rsidR="006F2857" w:rsidRPr="00797EE3" w:rsidRDefault="006F2857"/>
        </w:tc>
      </w:tr>
      <w:tr w:rsidR="00072D7C" w:rsidRPr="00797EE3">
        <w:trPr>
          <w:trHeight w:val="142"/>
        </w:trPr>
        <w:tc>
          <w:tcPr>
            <w:tcW w:w="1920" w:type="dxa"/>
            <w:vMerge w:val="restart"/>
            <w:tcBorders>
              <w:top w:val="single" w:sz="8" w:space="0" w:color="auto"/>
              <w:left w:val="nil"/>
              <w:bottom w:val="single" w:sz="8" w:space="0" w:color="000000"/>
              <w:right w:val="nil"/>
            </w:tcBorders>
            <w:shd w:val="clear" w:color="auto" w:fill="auto"/>
            <w:vAlign w:val="center"/>
            <w:hideMark/>
          </w:tcPr>
          <w:p w:rsidR="006F2857" w:rsidRPr="00797EE3" w:rsidRDefault="006F2857">
            <w:pPr>
              <w:jc w:val="both"/>
            </w:pPr>
            <w:r w:rsidRPr="00797EE3">
              <w:t>Altura de plantas (cm)</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50%</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50,3</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49,3</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49,9</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50,2</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57,7</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51,28</w:t>
            </w:r>
          </w:p>
        </w:tc>
      </w:tr>
      <w:tr w:rsidR="00072D7C" w:rsidRPr="00797EE3">
        <w:trPr>
          <w:trHeight w:val="142"/>
        </w:trPr>
        <w:tc>
          <w:tcPr>
            <w:tcW w:w="1920" w:type="dxa"/>
            <w:vMerge/>
            <w:tcBorders>
              <w:top w:val="single" w:sz="8" w:space="0" w:color="auto"/>
              <w:left w:val="nil"/>
              <w:bottom w:val="single" w:sz="8" w:space="0" w:color="000000"/>
              <w:right w:val="nil"/>
            </w:tcBorders>
            <w:vAlign w:val="center"/>
            <w:hideMark/>
          </w:tcPr>
          <w:p w:rsidR="006F2857" w:rsidRPr="00797EE3" w:rsidRDefault="006F2857"/>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100%</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52,3</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51,6</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53,0</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57,1</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57,1</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54,20</w:t>
            </w:r>
          </w:p>
        </w:tc>
      </w:tr>
      <w:tr w:rsidR="00072D7C" w:rsidRPr="00797EE3">
        <w:trPr>
          <w:trHeight w:val="142"/>
        </w:trPr>
        <w:tc>
          <w:tcPr>
            <w:tcW w:w="1920" w:type="dxa"/>
            <w:vMerge/>
            <w:tcBorders>
              <w:top w:val="single" w:sz="8" w:space="0" w:color="auto"/>
              <w:left w:val="nil"/>
              <w:bottom w:val="single" w:sz="8" w:space="0" w:color="000000"/>
              <w:right w:val="nil"/>
            </w:tcBorders>
            <w:vAlign w:val="center"/>
            <w:hideMark/>
          </w:tcPr>
          <w:p w:rsidR="006F2857" w:rsidRPr="00797EE3" w:rsidRDefault="006F2857"/>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150%</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55,1</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58,6</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57,5</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59,9</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59,6</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58,14</w:t>
            </w:r>
          </w:p>
        </w:tc>
      </w:tr>
      <w:tr w:rsidR="00072D7C" w:rsidRPr="00797EE3">
        <w:trPr>
          <w:trHeight w:val="142"/>
        </w:trPr>
        <w:tc>
          <w:tcPr>
            <w:tcW w:w="1920" w:type="dxa"/>
            <w:tcBorders>
              <w:top w:val="nil"/>
              <w:left w:val="nil"/>
              <w:bottom w:val="single" w:sz="8" w:space="0" w:color="auto"/>
              <w:right w:val="nil"/>
            </w:tcBorders>
            <w:shd w:val="clear" w:color="auto" w:fill="auto"/>
            <w:vAlign w:val="center"/>
            <w:hideMark/>
          </w:tcPr>
          <w:p w:rsidR="006F2857" w:rsidRPr="00797EE3" w:rsidRDefault="006F2857">
            <w:pPr>
              <w:jc w:val="both"/>
            </w:pPr>
            <w:r w:rsidRPr="00797EE3">
              <w:t>DMS: 4,68</w:t>
            </w:r>
          </w:p>
        </w:tc>
        <w:tc>
          <w:tcPr>
            <w:tcW w:w="960" w:type="dxa"/>
            <w:tcBorders>
              <w:top w:val="nil"/>
              <w:left w:val="nil"/>
              <w:bottom w:val="single" w:sz="8" w:space="0" w:color="auto"/>
              <w:right w:val="nil"/>
            </w:tcBorders>
            <w:shd w:val="clear" w:color="auto" w:fill="auto"/>
            <w:vAlign w:val="center"/>
            <w:hideMark/>
          </w:tcPr>
          <w:p w:rsidR="006F2857" w:rsidRPr="00797EE3" w:rsidRDefault="006F2857">
            <w:pPr>
              <w:jc w:val="center"/>
            </w:pPr>
            <w:r w:rsidRPr="00797EE3">
              <w:t>Média:</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52,6 B</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53,2 AB</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53,4 AB</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55,7 AB</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57,8 A</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p>
        </w:tc>
      </w:tr>
      <w:tr w:rsidR="00072D7C" w:rsidRPr="00797EE3">
        <w:trPr>
          <w:trHeight w:val="142"/>
        </w:trPr>
        <w:tc>
          <w:tcPr>
            <w:tcW w:w="1920" w:type="dxa"/>
            <w:vMerge w:val="restart"/>
            <w:tcBorders>
              <w:top w:val="single" w:sz="8" w:space="0" w:color="auto"/>
              <w:left w:val="nil"/>
              <w:bottom w:val="single" w:sz="8" w:space="0" w:color="000000"/>
              <w:right w:val="nil"/>
            </w:tcBorders>
            <w:shd w:val="clear" w:color="auto" w:fill="auto"/>
            <w:vAlign w:val="center"/>
            <w:hideMark/>
          </w:tcPr>
          <w:p w:rsidR="006F2857" w:rsidRPr="00797EE3" w:rsidRDefault="006F2857">
            <w:pPr>
              <w:jc w:val="both"/>
            </w:pPr>
            <w:r w:rsidRPr="00797EE3">
              <w:t>Produção comercial</w:t>
            </w:r>
          </w:p>
          <w:p w:rsidR="006F2857" w:rsidRPr="00797EE3" w:rsidRDefault="006F2857">
            <w:pPr>
              <w:jc w:val="both"/>
            </w:pPr>
            <w:r w:rsidRPr="00797EE3">
              <w:t>(kg planta</w:t>
            </w:r>
            <w:r w:rsidRPr="00797EE3">
              <w:rPr>
                <w:vertAlign w:val="superscript"/>
              </w:rPr>
              <w:t>-1</w:t>
            </w:r>
            <w:r w:rsidRPr="00797EE3">
              <w:t>)</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50%</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0,261</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0,387</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0,330</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0,317</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0,461</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0,379B</w:t>
            </w:r>
          </w:p>
        </w:tc>
      </w:tr>
      <w:tr w:rsidR="00072D7C" w:rsidRPr="00797EE3">
        <w:trPr>
          <w:trHeight w:val="142"/>
        </w:trPr>
        <w:tc>
          <w:tcPr>
            <w:tcW w:w="1920" w:type="dxa"/>
            <w:vMerge/>
            <w:tcBorders>
              <w:top w:val="single" w:sz="8" w:space="0" w:color="auto"/>
              <w:left w:val="nil"/>
              <w:bottom w:val="single" w:sz="8" w:space="0" w:color="000000"/>
              <w:right w:val="nil"/>
            </w:tcBorders>
            <w:vAlign w:val="center"/>
            <w:hideMark/>
          </w:tcPr>
          <w:p w:rsidR="006F2857" w:rsidRPr="00797EE3" w:rsidRDefault="006F2857"/>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100%</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0,452</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0,578</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0,515</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0,480</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0,602</w:t>
            </w:r>
          </w:p>
        </w:tc>
        <w:tc>
          <w:tcPr>
            <w:tcW w:w="960" w:type="dxa"/>
            <w:tcBorders>
              <w:top w:val="nil"/>
              <w:left w:val="nil"/>
              <w:bottom w:val="nil"/>
              <w:right w:val="nil"/>
            </w:tcBorders>
            <w:shd w:val="clear" w:color="auto" w:fill="auto"/>
            <w:vAlign w:val="center"/>
          </w:tcPr>
          <w:p w:rsidR="006F2857" w:rsidRPr="00797EE3" w:rsidRDefault="006F2857">
            <w:pPr>
              <w:jc w:val="center"/>
            </w:pPr>
            <w:r w:rsidRPr="00797EE3">
              <w:t>0,497 AB</w:t>
            </w:r>
          </w:p>
        </w:tc>
      </w:tr>
      <w:tr w:rsidR="00072D7C" w:rsidRPr="00797EE3">
        <w:trPr>
          <w:trHeight w:val="142"/>
        </w:trPr>
        <w:tc>
          <w:tcPr>
            <w:tcW w:w="1920" w:type="dxa"/>
            <w:vMerge/>
            <w:tcBorders>
              <w:top w:val="single" w:sz="8" w:space="0" w:color="auto"/>
              <w:left w:val="nil"/>
              <w:bottom w:val="single" w:sz="8" w:space="0" w:color="000000"/>
              <w:right w:val="nil"/>
            </w:tcBorders>
            <w:vAlign w:val="center"/>
            <w:hideMark/>
          </w:tcPr>
          <w:p w:rsidR="006F2857" w:rsidRPr="00797EE3" w:rsidRDefault="006F2857"/>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150%</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0,568</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0,640</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0,579</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0,688</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0,791</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0,653 A</w:t>
            </w:r>
          </w:p>
        </w:tc>
      </w:tr>
      <w:tr w:rsidR="00072D7C" w:rsidRPr="00797EE3">
        <w:trPr>
          <w:trHeight w:val="142"/>
        </w:trPr>
        <w:tc>
          <w:tcPr>
            <w:tcW w:w="1920" w:type="dxa"/>
            <w:tcBorders>
              <w:top w:val="nil"/>
              <w:left w:val="nil"/>
              <w:bottom w:val="single" w:sz="8" w:space="0" w:color="auto"/>
              <w:right w:val="nil"/>
            </w:tcBorders>
            <w:shd w:val="clear" w:color="auto" w:fill="auto"/>
            <w:vAlign w:val="center"/>
            <w:hideMark/>
          </w:tcPr>
          <w:p w:rsidR="006F2857" w:rsidRPr="00797EE3" w:rsidRDefault="006F2857">
            <w:pPr>
              <w:jc w:val="both"/>
            </w:pPr>
            <w:r w:rsidRPr="00797EE3">
              <w:t>DMS: 0,217</w:t>
            </w:r>
          </w:p>
        </w:tc>
        <w:tc>
          <w:tcPr>
            <w:tcW w:w="960" w:type="dxa"/>
            <w:tcBorders>
              <w:top w:val="nil"/>
              <w:left w:val="nil"/>
              <w:bottom w:val="single" w:sz="8" w:space="0" w:color="auto"/>
              <w:right w:val="nil"/>
            </w:tcBorders>
            <w:shd w:val="clear" w:color="auto" w:fill="auto"/>
            <w:vAlign w:val="center"/>
            <w:hideMark/>
          </w:tcPr>
          <w:p w:rsidR="006F2857" w:rsidRPr="00797EE3" w:rsidRDefault="006F2857">
            <w:pPr>
              <w:jc w:val="both"/>
            </w:pPr>
            <w:r w:rsidRPr="00797EE3">
              <w:t>Média:</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0,427</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0,535</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0,475</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0,495</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r w:rsidRPr="00797EE3">
              <w:t>0,618</w:t>
            </w:r>
          </w:p>
        </w:tc>
        <w:tc>
          <w:tcPr>
            <w:tcW w:w="960" w:type="dxa"/>
            <w:tcBorders>
              <w:top w:val="nil"/>
              <w:left w:val="nil"/>
              <w:bottom w:val="single" w:sz="8" w:space="0" w:color="auto"/>
              <w:right w:val="nil"/>
            </w:tcBorders>
            <w:shd w:val="clear" w:color="auto" w:fill="auto"/>
            <w:vAlign w:val="center"/>
          </w:tcPr>
          <w:p w:rsidR="006F2857" w:rsidRPr="00797EE3" w:rsidRDefault="006F2857">
            <w:pPr>
              <w:jc w:val="center"/>
            </w:pPr>
          </w:p>
        </w:tc>
      </w:tr>
    </w:tbl>
    <w:p w:rsidR="006F2857" w:rsidRPr="00797EE3" w:rsidRDefault="006F2857" w:rsidP="006F2857">
      <w:pPr>
        <w:rPr>
          <w:sz w:val="18"/>
          <w:szCs w:val="18"/>
        </w:rPr>
      </w:pPr>
      <w:r w:rsidRPr="00797EE3">
        <w:rPr>
          <w:sz w:val="18"/>
          <w:szCs w:val="18"/>
        </w:rPr>
        <w:t>Para cada variável resposta, médias seguidas pela mesma letra, na coluna, não diferem entre si, pelo teste de Tukey, a 0,05 de significância. DMS - Diferença Mínima Significativa.</w:t>
      </w:r>
    </w:p>
    <w:p w:rsidR="006F2857" w:rsidRPr="00797EE3" w:rsidRDefault="006F2857" w:rsidP="00072D7C">
      <w:pPr>
        <w:jc w:val="both"/>
        <w:rPr>
          <w:sz w:val="22"/>
          <w:szCs w:val="22"/>
        </w:rPr>
      </w:pPr>
    </w:p>
    <w:p w:rsidR="006A168B" w:rsidRPr="00797EE3" w:rsidRDefault="006F2857" w:rsidP="004969D4">
      <w:pPr>
        <w:ind w:firstLine="709"/>
        <w:jc w:val="both"/>
        <w:rPr>
          <w:sz w:val="22"/>
          <w:szCs w:val="22"/>
        </w:rPr>
      </w:pPr>
      <w:r w:rsidRPr="00797EE3">
        <w:rPr>
          <w:sz w:val="22"/>
          <w:szCs w:val="22"/>
        </w:rPr>
        <w:t xml:space="preserve">A produção de frutos comerciais apresentou melhor resposta com a reposição de 150% da ETc, não se diferindo na lâmina de 100%. </w:t>
      </w:r>
      <w:r w:rsidR="006A168B" w:rsidRPr="00797EE3">
        <w:rPr>
          <w:sz w:val="22"/>
          <w:szCs w:val="22"/>
        </w:rPr>
        <w:t>No manejo da irrigação com déficit, repondo apenas 50% da ETc, observou-se durante o período experimental maior murchamento de plantas, abortamento de flores e podridão apical de frutos, o que explica em parte, a menor produção de frutos comerciais nesse tratamento.</w:t>
      </w:r>
    </w:p>
    <w:p w:rsidR="006F2857" w:rsidRPr="00797EE3" w:rsidRDefault="006A168B" w:rsidP="006A168B">
      <w:pPr>
        <w:ind w:firstLine="709"/>
        <w:jc w:val="both"/>
        <w:rPr>
          <w:sz w:val="22"/>
          <w:szCs w:val="22"/>
          <w:shd w:val="clear" w:color="auto" w:fill="FFFFFF"/>
        </w:rPr>
      </w:pPr>
      <w:r w:rsidRPr="00797EE3">
        <w:rPr>
          <w:sz w:val="22"/>
          <w:szCs w:val="22"/>
        </w:rPr>
        <w:t xml:space="preserve">Segundo Silva et al. (2006), para cada </w:t>
      </w:r>
      <w:r w:rsidR="006F2857" w:rsidRPr="00797EE3">
        <w:rPr>
          <w:sz w:val="22"/>
          <w:szCs w:val="22"/>
          <w:shd w:val="clear" w:color="auto" w:fill="FFFFFF"/>
        </w:rPr>
        <w:t>tonelada de frutos, são encontrados 3 kg de nitrogênio, 0,5 kg de fósforo, 5 kg de potássio</w:t>
      </w:r>
      <w:r w:rsidRPr="00797EE3">
        <w:rPr>
          <w:sz w:val="22"/>
          <w:szCs w:val="22"/>
          <w:shd w:val="clear" w:color="auto" w:fill="FFFFFF"/>
        </w:rPr>
        <w:t>,</w:t>
      </w:r>
      <w:r w:rsidR="006F2857" w:rsidRPr="00797EE3">
        <w:rPr>
          <w:sz w:val="22"/>
          <w:szCs w:val="22"/>
          <w:shd w:val="clear" w:color="auto" w:fill="FFFFFF"/>
        </w:rPr>
        <w:t xml:space="preserve"> 0,8 kg de cálcio, 0,2 kg de magnésio e 0,7 kg de enxofre.</w:t>
      </w:r>
      <w:r w:rsidRPr="00797EE3">
        <w:rPr>
          <w:sz w:val="22"/>
          <w:szCs w:val="22"/>
          <w:shd w:val="clear" w:color="auto" w:fill="FFFFFF"/>
        </w:rPr>
        <w:t xml:space="preserve"> Considerando que a absorção e translocação de vários desse</w:t>
      </w:r>
      <w:r w:rsidR="009B58A3" w:rsidRPr="00797EE3">
        <w:rPr>
          <w:sz w:val="22"/>
          <w:szCs w:val="22"/>
          <w:shd w:val="clear" w:color="auto" w:fill="FFFFFF"/>
        </w:rPr>
        <w:t>s</w:t>
      </w:r>
      <w:r w:rsidRPr="00797EE3">
        <w:rPr>
          <w:sz w:val="22"/>
          <w:szCs w:val="22"/>
          <w:shd w:val="clear" w:color="auto" w:fill="FFFFFF"/>
        </w:rPr>
        <w:t xml:space="preserve"> nutrientes essenciais depende da umidade do solo e do potencial de água na folha, verifica-se que o fornecimento de água teve maior influência na produção de frutos do que os parcelamentos da adubação com N e K.</w:t>
      </w:r>
    </w:p>
    <w:p w:rsidR="006A168B" w:rsidRPr="00797EE3" w:rsidRDefault="006A168B" w:rsidP="006A168B">
      <w:pPr>
        <w:ind w:firstLine="709"/>
        <w:jc w:val="both"/>
        <w:rPr>
          <w:sz w:val="24"/>
          <w:szCs w:val="24"/>
        </w:rPr>
      </w:pPr>
    </w:p>
    <w:p w:rsidR="00C350B6" w:rsidRPr="00797EE3" w:rsidRDefault="00A40B19" w:rsidP="00380272">
      <w:pPr>
        <w:ind w:right="-1"/>
        <w:jc w:val="both"/>
        <w:rPr>
          <w:b/>
          <w:sz w:val="22"/>
          <w:szCs w:val="22"/>
        </w:rPr>
      </w:pPr>
      <w:r w:rsidRPr="00797EE3">
        <w:rPr>
          <w:b/>
          <w:sz w:val="22"/>
          <w:szCs w:val="22"/>
        </w:rPr>
        <w:t>CONCLUS</w:t>
      </w:r>
      <w:r w:rsidR="00F47800" w:rsidRPr="00797EE3">
        <w:rPr>
          <w:b/>
          <w:sz w:val="22"/>
          <w:szCs w:val="22"/>
        </w:rPr>
        <w:t>ÃO</w:t>
      </w:r>
    </w:p>
    <w:p w:rsidR="004969D4" w:rsidRPr="00797EE3" w:rsidRDefault="006A168B" w:rsidP="004969D4">
      <w:pPr>
        <w:tabs>
          <w:tab w:val="left" w:pos="0"/>
        </w:tabs>
        <w:ind w:right="-1" w:firstLine="709"/>
        <w:jc w:val="both"/>
        <w:rPr>
          <w:sz w:val="22"/>
          <w:szCs w:val="22"/>
        </w:rPr>
      </w:pPr>
      <w:r w:rsidRPr="00797EE3">
        <w:rPr>
          <w:sz w:val="22"/>
          <w:szCs w:val="22"/>
        </w:rPr>
        <w:t>Apesar da indiferença no potencial de água na folha, a lâmina de irrigação igual a 150% da ETc, apresentou maior produção de frutos comerciais (0,653 kg planta</w:t>
      </w:r>
      <w:r w:rsidRPr="00797EE3">
        <w:rPr>
          <w:sz w:val="22"/>
          <w:szCs w:val="22"/>
          <w:vertAlign w:val="superscript"/>
        </w:rPr>
        <w:t>-1</w:t>
      </w:r>
      <w:r w:rsidRPr="00797EE3">
        <w:rPr>
          <w:sz w:val="22"/>
          <w:szCs w:val="22"/>
        </w:rPr>
        <w:t>), sendo 72,2% superior à lâmina de 50%</w:t>
      </w:r>
    </w:p>
    <w:p w:rsidR="001E2B04" w:rsidRPr="00797EE3" w:rsidRDefault="002D4D50" w:rsidP="002D4D50">
      <w:pPr>
        <w:tabs>
          <w:tab w:val="left" w:pos="0"/>
        </w:tabs>
        <w:ind w:right="-1"/>
        <w:jc w:val="both"/>
        <w:rPr>
          <w:sz w:val="22"/>
          <w:szCs w:val="22"/>
        </w:rPr>
      </w:pPr>
      <w:r w:rsidRPr="00797EE3">
        <w:rPr>
          <w:sz w:val="22"/>
          <w:szCs w:val="22"/>
        </w:rPr>
        <w:tab/>
      </w:r>
      <w:r w:rsidR="004969D4" w:rsidRPr="00797EE3">
        <w:rPr>
          <w:sz w:val="22"/>
          <w:szCs w:val="22"/>
        </w:rPr>
        <w:t xml:space="preserve">O parcelamento </w:t>
      </w:r>
      <w:r w:rsidR="006A168B" w:rsidRPr="00797EE3">
        <w:rPr>
          <w:sz w:val="22"/>
          <w:szCs w:val="22"/>
        </w:rPr>
        <w:t xml:space="preserve">da adubação a cada 3 dias apresentou </w:t>
      </w:r>
      <w:r w:rsidR="00072D7C" w:rsidRPr="00797EE3">
        <w:rPr>
          <w:sz w:val="22"/>
          <w:szCs w:val="22"/>
        </w:rPr>
        <w:t>melhores resultados, sobretudo para altura de plantas.</w:t>
      </w:r>
    </w:p>
    <w:p w:rsidR="00304210" w:rsidRPr="00797EE3" w:rsidRDefault="00304210" w:rsidP="00304210">
      <w:pPr>
        <w:tabs>
          <w:tab w:val="left" w:pos="0"/>
        </w:tabs>
        <w:ind w:right="-1"/>
        <w:jc w:val="both"/>
        <w:rPr>
          <w:sz w:val="22"/>
          <w:szCs w:val="22"/>
        </w:rPr>
      </w:pPr>
    </w:p>
    <w:p w:rsidR="00E74C1E" w:rsidRPr="00797EE3" w:rsidRDefault="00E74C1E" w:rsidP="00380272">
      <w:pPr>
        <w:autoSpaceDE w:val="0"/>
        <w:autoSpaceDN w:val="0"/>
        <w:adjustRightInd w:val="0"/>
        <w:jc w:val="both"/>
        <w:rPr>
          <w:rFonts w:eastAsia="Calibri"/>
          <w:b/>
          <w:sz w:val="22"/>
          <w:szCs w:val="22"/>
        </w:rPr>
      </w:pPr>
      <w:r w:rsidRPr="00797EE3">
        <w:rPr>
          <w:rFonts w:eastAsia="Calibri"/>
          <w:b/>
          <w:sz w:val="22"/>
          <w:szCs w:val="22"/>
        </w:rPr>
        <w:t>AGRADECIMENTOS</w:t>
      </w:r>
    </w:p>
    <w:p w:rsidR="00E74C1E" w:rsidRPr="00797EE3" w:rsidRDefault="00E74C1E" w:rsidP="00380272">
      <w:pPr>
        <w:autoSpaceDE w:val="0"/>
        <w:autoSpaceDN w:val="0"/>
        <w:adjustRightInd w:val="0"/>
        <w:ind w:firstLine="709"/>
        <w:jc w:val="both"/>
        <w:rPr>
          <w:rFonts w:eastAsia="Calibri"/>
          <w:sz w:val="22"/>
          <w:szCs w:val="22"/>
        </w:rPr>
      </w:pPr>
      <w:r w:rsidRPr="00797EE3">
        <w:rPr>
          <w:rFonts w:eastAsia="Calibri"/>
          <w:sz w:val="22"/>
          <w:szCs w:val="22"/>
        </w:rPr>
        <w:t xml:space="preserve">Ao </w:t>
      </w:r>
      <w:r w:rsidR="004969D4" w:rsidRPr="00797EE3">
        <w:rPr>
          <w:rFonts w:eastAsia="Calibri"/>
          <w:sz w:val="22"/>
          <w:szCs w:val="22"/>
        </w:rPr>
        <w:t>IF Goiano – Campus Morrinhos pela concessão de b</w:t>
      </w:r>
      <w:r w:rsidRPr="00797EE3">
        <w:rPr>
          <w:rFonts w:eastAsia="Calibri"/>
          <w:sz w:val="22"/>
          <w:szCs w:val="22"/>
        </w:rPr>
        <w:t xml:space="preserve">olsa de </w:t>
      </w:r>
      <w:r w:rsidR="00543552" w:rsidRPr="00797EE3">
        <w:rPr>
          <w:rFonts w:eastAsia="Calibri"/>
          <w:sz w:val="22"/>
          <w:szCs w:val="22"/>
        </w:rPr>
        <w:t>pesquisa ao primeiro autor.</w:t>
      </w:r>
    </w:p>
    <w:p w:rsidR="00E74C1E" w:rsidRPr="00797EE3" w:rsidRDefault="00E74C1E" w:rsidP="00380272">
      <w:pPr>
        <w:autoSpaceDE w:val="0"/>
        <w:autoSpaceDN w:val="0"/>
        <w:adjustRightInd w:val="0"/>
        <w:jc w:val="both"/>
        <w:rPr>
          <w:rFonts w:eastAsia="Calibri"/>
          <w:sz w:val="22"/>
          <w:szCs w:val="22"/>
        </w:rPr>
      </w:pPr>
    </w:p>
    <w:p w:rsidR="00E74C1E" w:rsidRPr="00797EE3" w:rsidRDefault="00E74C1E" w:rsidP="00380272">
      <w:pPr>
        <w:pStyle w:val="TextosemFormatao"/>
        <w:spacing w:beforeAutospacing="0" w:afterAutospacing="0"/>
        <w:rPr>
          <w:rFonts w:ascii="Times New Roman" w:hAnsi="Times New Roman"/>
          <w:b/>
          <w:sz w:val="22"/>
          <w:szCs w:val="22"/>
          <w:lang w:val="pt-BR"/>
        </w:rPr>
      </w:pPr>
      <w:r w:rsidRPr="00797EE3">
        <w:rPr>
          <w:rFonts w:ascii="Times New Roman" w:hAnsi="Times New Roman"/>
          <w:b/>
          <w:sz w:val="22"/>
          <w:szCs w:val="22"/>
          <w:lang w:val="pt-BR"/>
        </w:rPr>
        <w:t xml:space="preserve">REFERÊNCIAS </w:t>
      </w:r>
    </w:p>
    <w:p w:rsidR="004969D4" w:rsidRPr="00797EE3" w:rsidRDefault="004969D4" w:rsidP="004969D4">
      <w:pPr>
        <w:pStyle w:val="Default"/>
        <w:ind w:left="284" w:hanging="284"/>
        <w:jc w:val="both"/>
        <w:rPr>
          <w:color w:val="auto"/>
          <w:sz w:val="22"/>
          <w:szCs w:val="22"/>
        </w:rPr>
      </w:pPr>
      <w:r w:rsidRPr="00797EE3">
        <w:rPr>
          <w:color w:val="auto"/>
          <w:sz w:val="22"/>
          <w:szCs w:val="22"/>
        </w:rPr>
        <w:t xml:space="preserve">Alves Júnior. J., Sena, C.C.R., Domingos, M.Vh., Knapp, F.M., Almeida, F. P., Battisti, R., Casaroli, D., Evangelista, A.W.P. </w:t>
      </w:r>
      <w:r w:rsidRPr="00797EE3">
        <w:rPr>
          <w:color w:val="auto"/>
          <w:sz w:val="22"/>
          <w:szCs w:val="22"/>
          <w:lang w:val="en-US"/>
        </w:rPr>
        <w:t>Diagnosis of Irrigation Management in the Industrial Tomato Crop in Goiás, Brazil. Chemical Engineering Transactions</w:t>
      </w:r>
      <w:r w:rsidRPr="00797EE3">
        <w:rPr>
          <w:color w:val="auto"/>
          <w:sz w:val="22"/>
          <w:szCs w:val="22"/>
        </w:rPr>
        <w:t>, v.87, p.415-420, 2021.</w:t>
      </w:r>
      <w:r w:rsidR="0088322E" w:rsidRPr="00797EE3">
        <w:rPr>
          <w:color w:val="auto"/>
          <w:sz w:val="22"/>
          <w:szCs w:val="22"/>
        </w:rPr>
        <w:t xml:space="preserve"> </w:t>
      </w:r>
      <w:r w:rsidRPr="00797EE3">
        <w:rPr>
          <w:color w:val="auto"/>
          <w:sz w:val="22"/>
          <w:szCs w:val="22"/>
        </w:rPr>
        <w:t>DOI: 10.3303/CET2187070</w:t>
      </w:r>
    </w:p>
    <w:p w:rsidR="0088322E" w:rsidRPr="00797EE3" w:rsidRDefault="0088322E" w:rsidP="0088322E">
      <w:pPr>
        <w:pStyle w:val="Default"/>
        <w:ind w:left="284" w:hanging="284"/>
        <w:jc w:val="both"/>
        <w:rPr>
          <w:color w:val="auto"/>
          <w:sz w:val="22"/>
          <w:szCs w:val="22"/>
        </w:rPr>
      </w:pPr>
      <w:r w:rsidRPr="00797EE3">
        <w:rPr>
          <w:color w:val="auto"/>
          <w:sz w:val="22"/>
          <w:szCs w:val="22"/>
        </w:rPr>
        <w:lastRenderedPageBreak/>
        <w:t>B</w:t>
      </w:r>
      <w:r w:rsidRPr="00797EE3">
        <w:rPr>
          <w:color w:val="auto"/>
          <w:sz w:val="23"/>
          <w:szCs w:val="23"/>
        </w:rPr>
        <w:t xml:space="preserve">ezerra, R. S.; Evangelista, A.W.P. ; Alves Júnior, J.; Nascimento, A.R.; Casaroli, D.; </w:t>
      </w:r>
      <w:r w:rsidRPr="00797EE3">
        <w:rPr>
          <w:color w:val="auto"/>
          <w:sz w:val="23"/>
          <w:szCs w:val="23"/>
          <w:lang w:val="en-US"/>
        </w:rPr>
        <w:t>Minitomato cultivation with substrate under different fertigation management strategies</w:t>
      </w:r>
      <w:r w:rsidRPr="00797EE3">
        <w:rPr>
          <w:color w:val="auto"/>
          <w:sz w:val="23"/>
          <w:szCs w:val="23"/>
        </w:rPr>
        <w:t>. Horticultura Brasileira, 36, p.88-93, 2018.</w:t>
      </w:r>
    </w:p>
    <w:p w:rsidR="001007A0" w:rsidRPr="00797EE3" w:rsidRDefault="003F79C1" w:rsidP="006916E5">
      <w:pPr>
        <w:pStyle w:val="PargrafodaLista"/>
        <w:spacing w:after="0" w:line="240" w:lineRule="auto"/>
        <w:ind w:left="284" w:right="-1" w:hanging="284"/>
        <w:jc w:val="both"/>
        <w:rPr>
          <w:rFonts w:ascii="Times New Roman" w:hAnsi="Times New Roman"/>
        </w:rPr>
      </w:pPr>
      <w:r w:rsidRPr="00797EE3">
        <w:rPr>
          <w:rFonts w:ascii="Times New Roman" w:hAnsi="Times New Roman"/>
        </w:rPr>
        <w:t>Fratoni</w:t>
      </w:r>
      <w:r w:rsidR="001007A0" w:rsidRPr="00797EE3">
        <w:rPr>
          <w:rFonts w:ascii="Times New Roman" w:hAnsi="Times New Roman"/>
        </w:rPr>
        <w:t xml:space="preserve">, M.M.J.; </w:t>
      </w:r>
      <w:r w:rsidRPr="00797EE3">
        <w:rPr>
          <w:rFonts w:ascii="Times New Roman" w:hAnsi="Times New Roman"/>
        </w:rPr>
        <w:t>Fratoni</w:t>
      </w:r>
      <w:r w:rsidR="001007A0" w:rsidRPr="00797EE3">
        <w:rPr>
          <w:rFonts w:ascii="Times New Roman" w:hAnsi="Times New Roman"/>
        </w:rPr>
        <w:t xml:space="preserve"> M.S.M.; S</w:t>
      </w:r>
      <w:r w:rsidRPr="00797EE3">
        <w:rPr>
          <w:rFonts w:ascii="Times New Roman" w:hAnsi="Times New Roman"/>
        </w:rPr>
        <w:t xml:space="preserve">andra </w:t>
      </w:r>
      <w:r w:rsidR="001007A0" w:rsidRPr="00797EE3">
        <w:rPr>
          <w:rFonts w:ascii="Times New Roman" w:hAnsi="Times New Roman"/>
        </w:rPr>
        <w:t>M.J.; M</w:t>
      </w:r>
      <w:r w:rsidRPr="00797EE3">
        <w:rPr>
          <w:rFonts w:ascii="Times New Roman" w:hAnsi="Times New Roman"/>
        </w:rPr>
        <w:t>ossini</w:t>
      </w:r>
      <w:r w:rsidR="001007A0" w:rsidRPr="00797EE3">
        <w:rPr>
          <w:rFonts w:ascii="Times New Roman" w:hAnsi="Times New Roman"/>
        </w:rPr>
        <w:t>, F.H.; S</w:t>
      </w:r>
      <w:r w:rsidRPr="00797EE3">
        <w:rPr>
          <w:rFonts w:ascii="Times New Roman" w:hAnsi="Times New Roman"/>
        </w:rPr>
        <w:t>ampaio</w:t>
      </w:r>
      <w:r w:rsidR="001007A0" w:rsidRPr="00797EE3">
        <w:rPr>
          <w:rFonts w:ascii="Times New Roman" w:hAnsi="Times New Roman"/>
        </w:rPr>
        <w:t>, M.L.; C</w:t>
      </w:r>
      <w:r w:rsidRPr="00797EE3">
        <w:rPr>
          <w:rFonts w:ascii="Times New Roman" w:hAnsi="Times New Roman"/>
        </w:rPr>
        <w:t>onstantino</w:t>
      </w:r>
      <w:r w:rsidR="001007A0" w:rsidRPr="00797EE3">
        <w:rPr>
          <w:rFonts w:ascii="Times New Roman" w:hAnsi="Times New Roman"/>
        </w:rPr>
        <w:t>, L.V.; A</w:t>
      </w:r>
      <w:r w:rsidRPr="00797EE3">
        <w:rPr>
          <w:rFonts w:ascii="Times New Roman" w:hAnsi="Times New Roman"/>
        </w:rPr>
        <w:t>lmeida</w:t>
      </w:r>
      <w:r w:rsidR="001007A0" w:rsidRPr="00797EE3">
        <w:rPr>
          <w:rFonts w:ascii="Times New Roman" w:hAnsi="Times New Roman"/>
        </w:rPr>
        <w:t>, L.H.C.; F</w:t>
      </w:r>
      <w:r w:rsidRPr="00797EE3">
        <w:rPr>
          <w:rFonts w:ascii="Times New Roman" w:hAnsi="Times New Roman"/>
        </w:rPr>
        <w:t>regonezi</w:t>
      </w:r>
      <w:r w:rsidR="001007A0" w:rsidRPr="00797EE3">
        <w:rPr>
          <w:rFonts w:ascii="Times New Roman" w:hAnsi="Times New Roman"/>
        </w:rPr>
        <w:t>, G.A.F.; T</w:t>
      </w:r>
      <w:r w:rsidRPr="00797EE3">
        <w:rPr>
          <w:rFonts w:ascii="Times New Roman" w:hAnsi="Times New Roman"/>
        </w:rPr>
        <w:t>akahashi</w:t>
      </w:r>
      <w:r w:rsidR="001007A0" w:rsidRPr="00797EE3">
        <w:rPr>
          <w:rFonts w:ascii="Times New Roman" w:hAnsi="Times New Roman"/>
        </w:rPr>
        <w:t xml:space="preserve"> H, W. Fertirrigação por gotejamento com doses de K na fase reprodutiva do tomateiro tipo italiano. Horticultura Brasileira, Vitoria da Conquista, v. 34, n. 1, p. 110-113, 2016. DOI: </w:t>
      </w:r>
      <w:hyperlink r:id="rId10" w:history="1">
        <w:r w:rsidR="001007A0" w:rsidRPr="00797EE3">
          <w:rPr>
            <w:rStyle w:val="Hyperlink"/>
            <w:rFonts w:ascii="Times New Roman" w:hAnsi="Times New Roman"/>
            <w:color w:val="auto"/>
            <w:u w:val="none"/>
          </w:rPr>
          <w:t>https://doi.org/10.1590/S0102-053620160000100016</w:t>
        </w:r>
      </w:hyperlink>
    </w:p>
    <w:p w:rsidR="004969D4" w:rsidRPr="00797EE3" w:rsidRDefault="004969D4" w:rsidP="004969D4">
      <w:pPr>
        <w:pStyle w:val="Default"/>
        <w:ind w:left="284" w:hanging="284"/>
        <w:jc w:val="both"/>
        <w:rPr>
          <w:color w:val="auto"/>
          <w:sz w:val="22"/>
          <w:szCs w:val="22"/>
          <w:lang w:val="en-US"/>
        </w:rPr>
      </w:pPr>
      <w:r w:rsidRPr="00797EE3">
        <w:rPr>
          <w:color w:val="auto"/>
          <w:sz w:val="22"/>
          <w:szCs w:val="22"/>
        </w:rPr>
        <w:t xml:space="preserve">Guedes, E., Santos, R. F., Guedes, C. R., Souza, E. P. De, Cardoso, A. I. I. Fontes de potássio para produção e qualidade de tomate cultivado em sistema orgânico em ambiente protegido. </w:t>
      </w:r>
      <w:r w:rsidRPr="00797EE3">
        <w:rPr>
          <w:color w:val="auto"/>
          <w:sz w:val="22"/>
          <w:szCs w:val="22"/>
          <w:lang w:val="en-US"/>
        </w:rPr>
        <w:t>Research, Society and Development, v.10, e484101422169, 2021. DOI: http://dx.doi.org/10.33448/rsd-v10i14.22169.</w:t>
      </w:r>
    </w:p>
    <w:p w:rsidR="004969D4" w:rsidRPr="00797EE3" w:rsidRDefault="004969D4" w:rsidP="004969D4">
      <w:pPr>
        <w:pStyle w:val="Default"/>
        <w:ind w:left="284" w:hanging="284"/>
        <w:jc w:val="both"/>
        <w:rPr>
          <w:color w:val="auto"/>
          <w:sz w:val="22"/>
          <w:szCs w:val="22"/>
          <w:lang w:val="en-US"/>
        </w:rPr>
      </w:pPr>
      <w:r w:rsidRPr="00797EE3">
        <w:rPr>
          <w:color w:val="auto"/>
          <w:sz w:val="22"/>
          <w:szCs w:val="22"/>
        </w:rPr>
        <w:t xml:space="preserve">Lima, T.P.de, Gomes Filho, R.R., Cadores, R., Freitas, D.S., Carvalho, C.M.de, Netto, A.O. De A. Lâminas de irrigação e formas de adubação na produção de tomate de mesa. </w:t>
      </w:r>
      <w:r w:rsidRPr="00797EE3">
        <w:rPr>
          <w:color w:val="auto"/>
          <w:sz w:val="22"/>
          <w:szCs w:val="22"/>
          <w:lang w:val="en-US"/>
        </w:rPr>
        <w:t>Revista Agropecuária Técnica, v.38, p.18-25, 2017.</w:t>
      </w:r>
    </w:p>
    <w:p w:rsidR="006916E5" w:rsidRPr="00797EE3" w:rsidRDefault="006916E5" w:rsidP="006916E5">
      <w:pPr>
        <w:ind w:left="284" w:hanging="284"/>
        <w:jc w:val="both"/>
        <w:rPr>
          <w:bCs/>
          <w:sz w:val="22"/>
          <w:szCs w:val="22"/>
          <w:lang w:val="en-US"/>
        </w:rPr>
      </w:pPr>
      <w:r w:rsidRPr="00797EE3">
        <w:rPr>
          <w:bCs/>
          <w:sz w:val="22"/>
          <w:szCs w:val="22"/>
          <w:lang w:val="en-US"/>
        </w:rPr>
        <w:t>Santana, M.J.; Pereira, U.C.; Beirigo, J.D.C.; Souza, S.S.; Campos, T.M.; Vieira, T.A. Crop coefficient for irrigated tomato. I</w:t>
      </w:r>
      <w:r w:rsidR="0088322E" w:rsidRPr="00797EE3">
        <w:rPr>
          <w:bCs/>
          <w:sz w:val="22"/>
          <w:szCs w:val="22"/>
          <w:lang w:val="en-US"/>
        </w:rPr>
        <w:t xml:space="preserve">rriga, </w:t>
      </w:r>
      <w:hyperlink r:id="rId11" w:history="1">
        <w:r w:rsidRPr="00797EE3">
          <w:rPr>
            <w:rStyle w:val="Hyperlink"/>
            <w:bCs/>
            <w:color w:val="auto"/>
            <w:sz w:val="22"/>
            <w:szCs w:val="22"/>
            <w:u w:val="none"/>
            <w:lang w:val="en-US"/>
          </w:rPr>
          <w:t xml:space="preserve">v. 16 n. 1, 2011. </w:t>
        </w:r>
      </w:hyperlink>
      <w:r w:rsidRPr="00797EE3">
        <w:rPr>
          <w:bCs/>
          <w:sz w:val="22"/>
          <w:szCs w:val="22"/>
          <w:lang w:val="en-US"/>
        </w:rPr>
        <w:t>DOI: </w:t>
      </w:r>
      <w:hyperlink r:id="rId12" w:history="1">
        <w:r w:rsidRPr="00797EE3">
          <w:rPr>
            <w:rStyle w:val="Hyperlink"/>
            <w:bCs/>
            <w:color w:val="auto"/>
            <w:sz w:val="22"/>
            <w:szCs w:val="22"/>
            <w:u w:val="none"/>
            <w:lang w:val="en-US"/>
          </w:rPr>
          <w:t>https://doi.org/10.15809/irriga.2011v16n1p11</w:t>
        </w:r>
      </w:hyperlink>
      <w:r w:rsidRPr="00797EE3">
        <w:rPr>
          <w:bCs/>
          <w:sz w:val="22"/>
          <w:szCs w:val="22"/>
          <w:lang w:val="en-US"/>
        </w:rPr>
        <w:t>.</w:t>
      </w:r>
    </w:p>
    <w:p w:rsidR="00072D7C" w:rsidRPr="00797EE3" w:rsidRDefault="00072D7C" w:rsidP="00072D7C">
      <w:pPr>
        <w:ind w:left="284" w:hanging="284"/>
        <w:rPr>
          <w:sz w:val="22"/>
          <w:szCs w:val="22"/>
          <w:shd w:val="clear" w:color="auto" w:fill="FFFFFF"/>
        </w:rPr>
      </w:pPr>
      <w:r w:rsidRPr="00797EE3">
        <w:rPr>
          <w:bCs/>
          <w:sz w:val="22"/>
          <w:szCs w:val="22"/>
        </w:rPr>
        <w:t>Silva</w:t>
      </w:r>
      <w:r w:rsidRPr="00797EE3">
        <w:rPr>
          <w:sz w:val="22"/>
          <w:szCs w:val="22"/>
          <w:shd w:val="clear" w:color="auto" w:fill="FFFFFF"/>
        </w:rPr>
        <w:t>, J.B.C. da; Giordano, L. de B.; Furumoto, O.; Boiteux, L. da S.; França, H. F.; Bôas, G.L.V; et al. Cultivo de tomate para industrialização. Embrapa Hortaliças. 2006. (Sistemas de Produção, 1 - 2 ed). Disponível em: &lt;</w:t>
      </w:r>
      <w:hyperlink r:id="rId13" w:history="1">
        <w:r w:rsidRPr="00797EE3">
          <w:rPr>
            <w:rStyle w:val="Hyperlink"/>
            <w:color w:val="auto"/>
            <w:sz w:val="22"/>
            <w:szCs w:val="22"/>
            <w:u w:val="none"/>
            <w:shd w:val="clear" w:color="auto" w:fill="FFFFFF"/>
          </w:rPr>
          <w:t>https://sistemasdeproducao.cnptia.embrapa.br/FontesHTML/Tomate/TomateIndustrial_2ed/adubacao.htm</w:t>
        </w:r>
      </w:hyperlink>
      <w:r w:rsidRPr="00797EE3">
        <w:rPr>
          <w:sz w:val="22"/>
          <w:szCs w:val="22"/>
          <w:shd w:val="clear" w:color="auto" w:fill="FFFFFF"/>
        </w:rPr>
        <w:t xml:space="preserve">&gt;. </w:t>
      </w:r>
      <w:r w:rsidRPr="00797EE3">
        <w:rPr>
          <w:sz w:val="22"/>
          <w:szCs w:val="22"/>
          <w:shd w:val="clear" w:color="auto" w:fill="FFFFFF"/>
          <w:lang w:val="en-US"/>
        </w:rPr>
        <w:t>Acesso em: 29 jun. 2023.</w:t>
      </w:r>
    </w:p>
    <w:p w:rsidR="004969D4" w:rsidRPr="00797EE3" w:rsidRDefault="004969D4" w:rsidP="004969D4">
      <w:pPr>
        <w:pStyle w:val="Default"/>
        <w:ind w:left="284" w:hanging="284"/>
        <w:jc w:val="both"/>
        <w:rPr>
          <w:color w:val="auto"/>
          <w:sz w:val="22"/>
          <w:szCs w:val="22"/>
          <w:lang w:val="en-US"/>
        </w:rPr>
      </w:pPr>
      <w:r w:rsidRPr="00797EE3">
        <w:rPr>
          <w:bCs/>
          <w:color w:val="auto"/>
          <w:sz w:val="22"/>
          <w:szCs w:val="22"/>
          <w:lang w:val="en-US"/>
        </w:rPr>
        <w:t>Wan</w:t>
      </w:r>
      <w:r w:rsidRPr="00797EE3">
        <w:rPr>
          <w:color w:val="auto"/>
          <w:sz w:val="22"/>
          <w:szCs w:val="22"/>
          <w:lang w:val="en-US"/>
        </w:rPr>
        <w:t>g, J.; Li, Y.; Niu, W. Deficit alternate drip irrigation increased Root-Soil-Plant interaction, tomato yield, and quality. International Journal of Environmental Research and Public Health, v.17, n.3, 781, 2020</w:t>
      </w:r>
    </w:p>
    <w:p w:rsidR="004969D4" w:rsidRPr="00797EE3" w:rsidRDefault="004969D4" w:rsidP="00430C8F">
      <w:pPr>
        <w:pStyle w:val="Default"/>
        <w:ind w:left="284" w:hanging="284"/>
        <w:jc w:val="both"/>
        <w:rPr>
          <w:color w:val="auto"/>
          <w:sz w:val="22"/>
          <w:szCs w:val="22"/>
          <w:lang w:val="en-US"/>
        </w:rPr>
      </w:pPr>
    </w:p>
    <w:sectPr w:rsidR="004969D4" w:rsidRPr="00797EE3" w:rsidSect="006239A5">
      <w:headerReference w:type="default" r:id="rId14"/>
      <w:footerReference w:type="default" r:id="rId15"/>
      <w:headerReference w:type="first" r:id="rId16"/>
      <w:footerReference w:type="first" r:id="rId17"/>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F6" w:rsidRDefault="00D61DF6">
      <w:r>
        <w:separator/>
      </w:r>
    </w:p>
  </w:endnote>
  <w:endnote w:type="continuationSeparator" w:id="0">
    <w:p w:rsidR="00D61DF6" w:rsidRDefault="00D6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1"/>
      <w:gridCol w:w="5590"/>
    </w:tblGrid>
    <w:tr w:rsidR="00691D2C" w:rsidTr="007010AA">
      <w:trPr>
        <w:trHeight w:val="849"/>
      </w:trPr>
      <w:tc>
        <w:tcPr>
          <w:tcW w:w="4605" w:type="dxa"/>
          <w:shd w:val="clear" w:color="auto" w:fill="auto"/>
          <w:vAlign w:val="center"/>
        </w:tcPr>
        <w:p w:rsidR="00691D2C" w:rsidRDefault="00031194" w:rsidP="007010AA">
          <w:pPr>
            <w:pStyle w:val="Rodap"/>
            <w:jc w:val="center"/>
          </w:pPr>
          <w:r>
            <w:rPr>
              <w:noProof/>
              <w:lang w:val="en-US" w:eastAsia="en-US"/>
            </w:rPr>
            <w:drawing>
              <wp:inline distT="0" distB="0" distL="0" distR="0">
                <wp:extent cx="2152650" cy="4476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rsidR="00691D2C" w:rsidRDefault="00031194" w:rsidP="007010AA">
          <w:pPr>
            <w:pStyle w:val="Rodap"/>
            <w:jc w:val="center"/>
          </w:pPr>
          <w:r>
            <w:rPr>
              <w:noProof/>
              <w:lang w:val="en-US" w:eastAsia="en-US"/>
            </w:rPr>
            <w:drawing>
              <wp:inline distT="0" distB="0" distL="0" distR="0">
                <wp:extent cx="3543300" cy="3333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1"/>
      <w:gridCol w:w="5590"/>
    </w:tblGrid>
    <w:tr w:rsidR="00691D2C" w:rsidTr="007010AA">
      <w:trPr>
        <w:trHeight w:val="849"/>
      </w:trPr>
      <w:tc>
        <w:tcPr>
          <w:tcW w:w="4605" w:type="dxa"/>
          <w:shd w:val="clear" w:color="auto" w:fill="auto"/>
          <w:vAlign w:val="center"/>
        </w:tcPr>
        <w:p w:rsidR="00691D2C" w:rsidRDefault="00031194" w:rsidP="007010AA">
          <w:pPr>
            <w:pStyle w:val="Rodap"/>
            <w:jc w:val="center"/>
          </w:pPr>
          <w:r>
            <w:rPr>
              <w:noProof/>
              <w:lang w:val="en-US" w:eastAsia="en-US"/>
            </w:rPr>
            <w:drawing>
              <wp:inline distT="0" distB="0" distL="0" distR="0">
                <wp:extent cx="2152650" cy="4476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rsidR="00691D2C" w:rsidRDefault="00031194" w:rsidP="007010AA">
          <w:pPr>
            <w:pStyle w:val="Rodap"/>
            <w:jc w:val="center"/>
          </w:pPr>
          <w:r>
            <w:rPr>
              <w:noProof/>
              <w:lang w:val="en-US" w:eastAsia="en-US"/>
            </w:rPr>
            <w:drawing>
              <wp:inline distT="0" distB="0" distL="0" distR="0">
                <wp:extent cx="3543300" cy="3333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rsidR="00691D2C" w:rsidRDefault="00691D2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F6" w:rsidRDefault="00D61DF6">
      <w:r>
        <w:separator/>
      </w:r>
    </w:p>
  </w:footnote>
  <w:footnote w:type="continuationSeparator" w:id="0">
    <w:p w:rsidR="00D61DF6" w:rsidRDefault="00D61D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2C" w:rsidRDefault="00031194" w:rsidP="00691D2C">
    <w:pPr>
      <w:pStyle w:val="Cabealho"/>
      <w:jc w:val="center"/>
    </w:pPr>
    <w:r>
      <w:rPr>
        <w:noProof/>
        <w:lang w:val="en-US" w:eastAsia="en-US"/>
      </w:rPr>
      <w:drawing>
        <wp:inline distT="0" distB="0" distL="0" distR="0">
          <wp:extent cx="3629025" cy="762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C33" w:rsidRDefault="00031194" w:rsidP="00691D2C">
    <w:pPr>
      <w:pStyle w:val="Cabealho"/>
      <w:jc w:val="center"/>
    </w:pPr>
    <w:r>
      <w:rPr>
        <w:noProof/>
        <w:lang w:val="en-US" w:eastAsia="en-US"/>
      </w:rPr>
      <w:drawing>
        <wp:inline distT="0" distB="0" distL="0" distR="0">
          <wp:extent cx="3629025" cy="762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DD"/>
    <w:rsid w:val="0000058A"/>
    <w:rsid w:val="00002FF4"/>
    <w:rsid w:val="00007BF5"/>
    <w:rsid w:val="000115A3"/>
    <w:rsid w:val="00015B60"/>
    <w:rsid w:val="00020CBE"/>
    <w:rsid w:val="00022D0B"/>
    <w:rsid w:val="00030F47"/>
    <w:rsid w:val="00031194"/>
    <w:rsid w:val="00031AA0"/>
    <w:rsid w:val="00031C22"/>
    <w:rsid w:val="00031C75"/>
    <w:rsid w:val="00046884"/>
    <w:rsid w:val="00053598"/>
    <w:rsid w:val="0005714A"/>
    <w:rsid w:val="000611A5"/>
    <w:rsid w:val="0006391F"/>
    <w:rsid w:val="00064CB9"/>
    <w:rsid w:val="000665C4"/>
    <w:rsid w:val="00072D7C"/>
    <w:rsid w:val="000807C9"/>
    <w:rsid w:val="000B0828"/>
    <w:rsid w:val="000B2226"/>
    <w:rsid w:val="000B68FC"/>
    <w:rsid w:val="000B6B96"/>
    <w:rsid w:val="000D0CA6"/>
    <w:rsid w:val="000D3765"/>
    <w:rsid w:val="000D387B"/>
    <w:rsid w:val="000D4A70"/>
    <w:rsid w:val="000E078A"/>
    <w:rsid w:val="000E5C33"/>
    <w:rsid w:val="000F16C5"/>
    <w:rsid w:val="000F22D6"/>
    <w:rsid w:val="000F2346"/>
    <w:rsid w:val="000F294D"/>
    <w:rsid w:val="001003ED"/>
    <w:rsid w:val="001007A0"/>
    <w:rsid w:val="00102D6D"/>
    <w:rsid w:val="00103D6C"/>
    <w:rsid w:val="001045BA"/>
    <w:rsid w:val="00104813"/>
    <w:rsid w:val="00105C9B"/>
    <w:rsid w:val="0011093A"/>
    <w:rsid w:val="00111469"/>
    <w:rsid w:val="00113EC9"/>
    <w:rsid w:val="00120B27"/>
    <w:rsid w:val="0012528B"/>
    <w:rsid w:val="0012588F"/>
    <w:rsid w:val="00135E02"/>
    <w:rsid w:val="0013606C"/>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4177"/>
    <w:rsid w:val="001E6C02"/>
    <w:rsid w:val="001E78BA"/>
    <w:rsid w:val="001F074C"/>
    <w:rsid w:val="001F1C78"/>
    <w:rsid w:val="0020459D"/>
    <w:rsid w:val="0020696C"/>
    <w:rsid w:val="002074D6"/>
    <w:rsid w:val="002115F3"/>
    <w:rsid w:val="00211A1D"/>
    <w:rsid w:val="00215271"/>
    <w:rsid w:val="00215368"/>
    <w:rsid w:val="00215B04"/>
    <w:rsid w:val="00217832"/>
    <w:rsid w:val="00230277"/>
    <w:rsid w:val="00235CCC"/>
    <w:rsid w:val="00241C09"/>
    <w:rsid w:val="002435AB"/>
    <w:rsid w:val="00252D33"/>
    <w:rsid w:val="002549A2"/>
    <w:rsid w:val="00254E6E"/>
    <w:rsid w:val="00263D21"/>
    <w:rsid w:val="002670E6"/>
    <w:rsid w:val="0026715B"/>
    <w:rsid w:val="00271E25"/>
    <w:rsid w:val="00272C04"/>
    <w:rsid w:val="002768AB"/>
    <w:rsid w:val="00280C84"/>
    <w:rsid w:val="00280E2A"/>
    <w:rsid w:val="00281420"/>
    <w:rsid w:val="00281E32"/>
    <w:rsid w:val="00282CF3"/>
    <w:rsid w:val="002863B2"/>
    <w:rsid w:val="0029461D"/>
    <w:rsid w:val="00295380"/>
    <w:rsid w:val="002A5867"/>
    <w:rsid w:val="002A691F"/>
    <w:rsid w:val="002A70F7"/>
    <w:rsid w:val="002B09B4"/>
    <w:rsid w:val="002B215D"/>
    <w:rsid w:val="002B2EBF"/>
    <w:rsid w:val="002C043A"/>
    <w:rsid w:val="002C15A4"/>
    <w:rsid w:val="002C3529"/>
    <w:rsid w:val="002D3DE5"/>
    <w:rsid w:val="002D3E20"/>
    <w:rsid w:val="002D4D50"/>
    <w:rsid w:val="002D7202"/>
    <w:rsid w:val="002E1BEA"/>
    <w:rsid w:val="00304210"/>
    <w:rsid w:val="00304ACD"/>
    <w:rsid w:val="003129A0"/>
    <w:rsid w:val="003151E7"/>
    <w:rsid w:val="00321987"/>
    <w:rsid w:val="00336586"/>
    <w:rsid w:val="003412C2"/>
    <w:rsid w:val="00344AA8"/>
    <w:rsid w:val="00347789"/>
    <w:rsid w:val="00347946"/>
    <w:rsid w:val="003507A3"/>
    <w:rsid w:val="003508B6"/>
    <w:rsid w:val="00351DA5"/>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7313"/>
    <w:rsid w:val="003D05A0"/>
    <w:rsid w:val="003D3A56"/>
    <w:rsid w:val="003E27A1"/>
    <w:rsid w:val="003E73B2"/>
    <w:rsid w:val="003F165D"/>
    <w:rsid w:val="003F1A67"/>
    <w:rsid w:val="003F3725"/>
    <w:rsid w:val="003F4681"/>
    <w:rsid w:val="003F6D04"/>
    <w:rsid w:val="003F79C1"/>
    <w:rsid w:val="00401337"/>
    <w:rsid w:val="00405D83"/>
    <w:rsid w:val="004115C2"/>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E66"/>
    <w:rsid w:val="00460F42"/>
    <w:rsid w:val="004656D7"/>
    <w:rsid w:val="00474CD3"/>
    <w:rsid w:val="004774F8"/>
    <w:rsid w:val="00477768"/>
    <w:rsid w:val="00480EE5"/>
    <w:rsid w:val="00481820"/>
    <w:rsid w:val="004822E1"/>
    <w:rsid w:val="004903B2"/>
    <w:rsid w:val="00490EAC"/>
    <w:rsid w:val="004969D4"/>
    <w:rsid w:val="004A09A0"/>
    <w:rsid w:val="004A78C8"/>
    <w:rsid w:val="004A7ADE"/>
    <w:rsid w:val="004B1B8B"/>
    <w:rsid w:val="004B50D9"/>
    <w:rsid w:val="004C0288"/>
    <w:rsid w:val="004C0C8B"/>
    <w:rsid w:val="004C4A01"/>
    <w:rsid w:val="004C5EB5"/>
    <w:rsid w:val="004D050A"/>
    <w:rsid w:val="004D2845"/>
    <w:rsid w:val="004D7F55"/>
    <w:rsid w:val="004E1B2A"/>
    <w:rsid w:val="004E2311"/>
    <w:rsid w:val="004E566E"/>
    <w:rsid w:val="004F1E8F"/>
    <w:rsid w:val="004F6E7E"/>
    <w:rsid w:val="004F7F6D"/>
    <w:rsid w:val="005033DD"/>
    <w:rsid w:val="005051B1"/>
    <w:rsid w:val="00513668"/>
    <w:rsid w:val="005208E0"/>
    <w:rsid w:val="00520DC9"/>
    <w:rsid w:val="0052318E"/>
    <w:rsid w:val="0052335F"/>
    <w:rsid w:val="005242BC"/>
    <w:rsid w:val="005252AF"/>
    <w:rsid w:val="005330E9"/>
    <w:rsid w:val="005412B8"/>
    <w:rsid w:val="00541634"/>
    <w:rsid w:val="00541EB0"/>
    <w:rsid w:val="00543552"/>
    <w:rsid w:val="00563D49"/>
    <w:rsid w:val="005658E5"/>
    <w:rsid w:val="00572076"/>
    <w:rsid w:val="005B0E11"/>
    <w:rsid w:val="005B268D"/>
    <w:rsid w:val="005B4ABF"/>
    <w:rsid w:val="005B4C2A"/>
    <w:rsid w:val="005C15C1"/>
    <w:rsid w:val="005C1645"/>
    <w:rsid w:val="005D48C9"/>
    <w:rsid w:val="005E66E5"/>
    <w:rsid w:val="00601DB7"/>
    <w:rsid w:val="00602496"/>
    <w:rsid w:val="00605E89"/>
    <w:rsid w:val="00611409"/>
    <w:rsid w:val="006126D9"/>
    <w:rsid w:val="00620A30"/>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6E5"/>
    <w:rsid w:val="00691D2C"/>
    <w:rsid w:val="00692338"/>
    <w:rsid w:val="006948E7"/>
    <w:rsid w:val="00696BA7"/>
    <w:rsid w:val="00696D2A"/>
    <w:rsid w:val="006A044B"/>
    <w:rsid w:val="006A168B"/>
    <w:rsid w:val="006B0256"/>
    <w:rsid w:val="006B0D93"/>
    <w:rsid w:val="006B16C7"/>
    <w:rsid w:val="006B2448"/>
    <w:rsid w:val="006B493A"/>
    <w:rsid w:val="006B6451"/>
    <w:rsid w:val="006C33F7"/>
    <w:rsid w:val="006C604F"/>
    <w:rsid w:val="006C62D8"/>
    <w:rsid w:val="006D2DD8"/>
    <w:rsid w:val="006D69DB"/>
    <w:rsid w:val="006D714C"/>
    <w:rsid w:val="006D7BEF"/>
    <w:rsid w:val="006E4A19"/>
    <w:rsid w:val="006E767D"/>
    <w:rsid w:val="006F0E1F"/>
    <w:rsid w:val="006F2857"/>
    <w:rsid w:val="006F5FE0"/>
    <w:rsid w:val="006F632C"/>
    <w:rsid w:val="006F63F6"/>
    <w:rsid w:val="007010AA"/>
    <w:rsid w:val="0070327F"/>
    <w:rsid w:val="00711EF0"/>
    <w:rsid w:val="007145D1"/>
    <w:rsid w:val="007248A3"/>
    <w:rsid w:val="00724DA9"/>
    <w:rsid w:val="007324AD"/>
    <w:rsid w:val="00737322"/>
    <w:rsid w:val="00740B98"/>
    <w:rsid w:val="00741C6A"/>
    <w:rsid w:val="0074320B"/>
    <w:rsid w:val="00745766"/>
    <w:rsid w:val="00752C12"/>
    <w:rsid w:val="00764F31"/>
    <w:rsid w:val="0077341C"/>
    <w:rsid w:val="007740A8"/>
    <w:rsid w:val="00774238"/>
    <w:rsid w:val="00792178"/>
    <w:rsid w:val="0079347F"/>
    <w:rsid w:val="00793CE6"/>
    <w:rsid w:val="00797EE3"/>
    <w:rsid w:val="007A0FE5"/>
    <w:rsid w:val="007A3367"/>
    <w:rsid w:val="007A6D13"/>
    <w:rsid w:val="007A6F7C"/>
    <w:rsid w:val="007B2B91"/>
    <w:rsid w:val="007B48D8"/>
    <w:rsid w:val="007B5D06"/>
    <w:rsid w:val="007C083E"/>
    <w:rsid w:val="007C462E"/>
    <w:rsid w:val="007C4D3A"/>
    <w:rsid w:val="007C6EC5"/>
    <w:rsid w:val="007D0776"/>
    <w:rsid w:val="007D1082"/>
    <w:rsid w:val="007E6C53"/>
    <w:rsid w:val="007F3F2C"/>
    <w:rsid w:val="007F5126"/>
    <w:rsid w:val="00804EE8"/>
    <w:rsid w:val="008077D4"/>
    <w:rsid w:val="0081570E"/>
    <w:rsid w:val="00817190"/>
    <w:rsid w:val="0082080B"/>
    <w:rsid w:val="008219CC"/>
    <w:rsid w:val="00831835"/>
    <w:rsid w:val="00837C24"/>
    <w:rsid w:val="008431A3"/>
    <w:rsid w:val="00846293"/>
    <w:rsid w:val="00850CFC"/>
    <w:rsid w:val="00865856"/>
    <w:rsid w:val="0087058C"/>
    <w:rsid w:val="008723F4"/>
    <w:rsid w:val="0088322E"/>
    <w:rsid w:val="008A2DA1"/>
    <w:rsid w:val="008A413B"/>
    <w:rsid w:val="008A610B"/>
    <w:rsid w:val="008A6F55"/>
    <w:rsid w:val="008B4227"/>
    <w:rsid w:val="008C106E"/>
    <w:rsid w:val="008C1D5F"/>
    <w:rsid w:val="008C436D"/>
    <w:rsid w:val="008D7AA5"/>
    <w:rsid w:val="008F085A"/>
    <w:rsid w:val="008F0D9F"/>
    <w:rsid w:val="008F72EA"/>
    <w:rsid w:val="009020E0"/>
    <w:rsid w:val="0091208C"/>
    <w:rsid w:val="0091228C"/>
    <w:rsid w:val="009139C1"/>
    <w:rsid w:val="00913E4D"/>
    <w:rsid w:val="00917571"/>
    <w:rsid w:val="00917D1D"/>
    <w:rsid w:val="0092075D"/>
    <w:rsid w:val="00922128"/>
    <w:rsid w:val="00924010"/>
    <w:rsid w:val="00933F95"/>
    <w:rsid w:val="00940AB9"/>
    <w:rsid w:val="009436FE"/>
    <w:rsid w:val="0094773C"/>
    <w:rsid w:val="00953421"/>
    <w:rsid w:val="00962BB9"/>
    <w:rsid w:val="0097685C"/>
    <w:rsid w:val="00976B0A"/>
    <w:rsid w:val="00981719"/>
    <w:rsid w:val="00985351"/>
    <w:rsid w:val="009878E2"/>
    <w:rsid w:val="009A1D67"/>
    <w:rsid w:val="009A357A"/>
    <w:rsid w:val="009A6630"/>
    <w:rsid w:val="009A742D"/>
    <w:rsid w:val="009B0229"/>
    <w:rsid w:val="009B44C1"/>
    <w:rsid w:val="009B58A3"/>
    <w:rsid w:val="009B6FAC"/>
    <w:rsid w:val="009F68BB"/>
    <w:rsid w:val="00A0212E"/>
    <w:rsid w:val="00A2762F"/>
    <w:rsid w:val="00A35221"/>
    <w:rsid w:val="00A4006D"/>
    <w:rsid w:val="00A40B19"/>
    <w:rsid w:val="00A47085"/>
    <w:rsid w:val="00A54EDE"/>
    <w:rsid w:val="00A56894"/>
    <w:rsid w:val="00A6766C"/>
    <w:rsid w:val="00A707BC"/>
    <w:rsid w:val="00A82865"/>
    <w:rsid w:val="00A856A0"/>
    <w:rsid w:val="00A95F1C"/>
    <w:rsid w:val="00A963E3"/>
    <w:rsid w:val="00A96919"/>
    <w:rsid w:val="00AA5229"/>
    <w:rsid w:val="00AA64CD"/>
    <w:rsid w:val="00AA7946"/>
    <w:rsid w:val="00AB3C69"/>
    <w:rsid w:val="00AB50E9"/>
    <w:rsid w:val="00AC1164"/>
    <w:rsid w:val="00AC175C"/>
    <w:rsid w:val="00AD18E2"/>
    <w:rsid w:val="00AD3679"/>
    <w:rsid w:val="00AD4464"/>
    <w:rsid w:val="00AE2916"/>
    <w:rsid w:val="00AE51FB"/>
    <w:rsid w:val="00AE72B4"/>
    <w:rsid w:val="00B020F6"/>
    <w:rsid w:val="00B049F2"/>
    <w:rsid w:val="00B15FDD"/>
    <w:rsid w:val="00B21C8D"/>
    <w:rsid w:val="00B233DF"/>
    <w:rsid w:val="00B2530D"/>
    <w:rsid w:val="00B31524"/>
    <w:rsid w:val="00B41A39"/>
    <w:rsid w:val="00B474D0"/>
    <w:rsid w:val="00B47DF7"/>
    <w:rsid w:val="00B5094D"/>
    <w:rsid w:val="00B57EE5"/>
    <w:rsid w:val="00B715B1"/>
    <w:rsid w:val="00B71940"/>
    <w:rsid w:val="00B741AA"/>
    <w:rsid w:val="00B844A1"/>
    <w:rsid w:val="00B845B1"/>
    <w:rsid w:val="00B8735C"/>
    <w:rsid w:val="00B87E9C"/>
    <w:rsid w:val="00B96481"/>
    <w:rsid w:val="00BB1366"/>
    <w:rsid w:val="00BB217D"/>
    <w:rsid w:val="00BB3136"/>
    <w:rsid w:val="00BD1BFF"/>
    <w:rsid w:val="00BD4CBB"/>
    <w:rsid w:val="00BD5C55"/>
    <w:rsid w:val="00BD7BE5"/>
    <w:rsid w:val="00BE328A"/>
    <w:rsid w:val="00BE42FC"/>
    <w:rsid w:val="00BE699D"/>
    <w:rsid w:val="00BF1A84"/>
    <w:rsid w:val="00BF1D65"/>
    <w:rsid w:val="00BF34CC"/>
    <w:rsid w:val="00C12B30"/>
    <w:rsid w:val="00C12DD4"/>
    <w:rsid w:val="00C2493A"/>
    <w:rsid w:val="00C2505D"/>
    <w:rsid w:val="00C2595F"/>
    <w:rsid w:val="00C27CDF"/>
    <w:rsid w:val="00C32D2F"/>
    <w:rsid w:val="00C350B6"/>
    <w:rsid w:val="00C437CB"/>
    <w:rsid w:val="00C44D7F"/>
    <w:rsid w:val="00C44FE1"/>
    <w:rsid w:val="00C4500C"/>
    <w:rsid w:val="00C45075"/>
    <w:rsid w:val="00C519A8"/>
    <w:rsid w:val="00C616AD"/>
    <w:rsid w:val="00C6791C"/>
    <w:rsid w:val="00C7350E"/>
    <w:rsid w:val="00C82B1E"/>
    <w:rsid w:val="00C83527"/>
    <w:rsid w:val="00C8680D"/>
    <w:rsid w:val="00C875D8"/>
    <w:rsid w:val="00C877CD"/>
    <w:rsid w:val="00C9142B"/>
    <w:rsid w:val="00CA3D61"/>
    <w:rsid w:val="00CB3747"/>
    <w:rsid w:val="00CB5CDC"/>
    <w:rsid w:val="00CB5F78"/>
    <w:rsid w:val="00CB65D6"/>
    <w:rsid w:val="00CC053E"/>
    <w:rsid w:val="00CC1CB3"/>
    <w:rsid w:val="00CD00C0"/>
    <w:rsid w:val="00CE42A2"/>
    <w:rsid w:val="00CE5620"/>
    <w:rsid w:val="00CE598C"/>
    <w:rsid w:val="00CF303F"/>
    <w:rsid w:val="00CF4D1D"/>
    <w:rsid w:val="00CF578B"/>
    <w:rsid w:val="00D03038"/>
    <w:rsid w:val="00D06A0C"/>
    <w:rsid w:val="00D11056"/>
    <w:rsid w:val="00D21D31"/>
    <w:rsid w:val="00D2333E"/>
    <w:rsid w:val="00D27445"/>
    <w:rsid w:val="00D2784F"/>
    <w:rsid w:val="00D27F47"/>
    <w:rsid w:val="00D30A13"/>
    <w:rsid w:val="00D30C5B"/>
    <w:rsid w:val="00D34EA3"/>
    <w:rsid w:val="00D40D87"/>
    <w:rsid w:val="00D4283E"/>
    <w:rsid w:val="00D46ABA"/>
    <w:rsid w:val="00D52DA9"/>
    <w:rsid w:val="00D534FF"/>
    <w:rsid w:val="00D61DF6"/>
    <w:rsid w:val="00D81087"/>
    <w:rsid w:val="00D85D60"/>
    <w:rsid w:val="00D8762A"/>
    <w:rsid w:val="00D90088"/>
    <w:rsid w:val="00DA0EF6"/>
    <w:rsid w:val="00DA381B"/>
    <w:rsid w:val="00DA3DAD"/>
    <w:rsid w:val="00DA5942"/>
    <w:rsid w:val="00DB05C3"/>
    <w:rsid w:val="00DB0B59"/>
    <w:rsid w:val="00DD5C2D"/>
    <w:rsid w:val="00DD7657"/>
    <w:rsid w:val="00DE4A67"/>
    <w:rsid w:val="00DF42CD"/>
    <w:rsid w:val="00DF678F"/>
    <w:rsid w:val="00DF761C"/>
    <w:rsid w:val="00E054E0"/>
    <w:rsid w:val="00E1042F"/>
    <w:rsid w:val="00E14911"/>
    <w:rsid w:val="00E16B72"/>
    <w:rsid w:val="00E24770"/>
    <w:rsid w:val="00E35601"/>
    <w:rsid w:val="00E35FB9"/>
    <w:rsid w:val="00E377E4"/>
    <w:rsid w:val="00E44D1B"/>
    <w:rsid w:val="00E53049"/>
    <w:rsid w:val="00E5699D"/>
    <w:rsid w:val="00E56BE7"/>
    <w:rsid w:val="00E56DAA"/>
    <w:rsid w:val="00E61358"/>
    <w:rsid w:val="00E62EB6"/>
    <w:rsid w:val="00E6380E"/>
    <w:rsid w:val="00E67C3A"/>
    <w:rsid w:val="00E718D0"/>
    <w:rsid w:val="00E74C1E"/>
    <w:rsid w:val="00E86B6C"/>
    <w:rsid w:val="00E93BF5"/>
    <w:rsid w:val="00E97AB8"/>
    <w:rsid w:val="00E97BD0"/>
    <w:rsid w:val="00EA20EF"/>
    <w:rsid w:val="00EA7168"/>
    <w:rsid w:val="00EB0FE3"/>
    <w:rsid w:val="00EB2648"/>
    <w:rsid w:val="00EB28CC"/>
    <w:rsid w:val="00EB309E"/>
    <w:rsid w:val="00EB392D"/>
    <w:rsid w:val="00ED125E"/>
    <w:rsid w:val="00ED197C"/>
    <w:rsid w:val="00ED5CE1"/>
    <w:rsid w:val="00ED6A29"/>
    <w:rsid w:val="00ED7F2F"/>
    <w:rsid w:val="00EE2758"/>
    <w:rsid w:val="00EE5ACA"/>
    <w:rsid w:val="00EE74EB"/>
    <w:rsid w:val="00EF5052"/>
    <w:rsid w:val="00EF6DDD"/>
    <w:rsid w:val="00F026C6"/>
    <w:rsid w:val="00F122F5"/>
    <w:rsid w:val="00F14DB5"/>
    <w:rsid w:val="00F155E1"/>
    <w:rsid w:val="00F300EF"/>
    <w:rsid w:val="00F369C9"/>
    <w:rsid w:val="00F421ED"/>
    <w:rsid w:val="00F42855"/>
    <w:rsid w:val="00F47800"/>
    <w:rsid w:val="00F57FD6"/>
    <w:rsid w:val="00F7030B"/>
    <w:rsid w:val="00F71C41"/>
    <w:rsid w:val="00F759CA"/>
    <w:rsid w:val="00F80278"/>
    <w:rsid w:val="00F813F8"/>
    <w:rsid w:val="00F81AF6"/>
    <w:rsid w:val="00F85B0C"/>
    <w:rsid w:val="00F86389"/>
    <w:rsid w:val="00F9155F"/>
    <w:rsid w:val="00F92573"/>
    <w:rsid w:val="00F92B0E"/>
    <w:rsid w:val="00F955A4"/>
    <w:rsid w:val="00FB0312"/>
    <w:rsid w:val="00FB480E"/>
    <w:rsid w:val="00FB49D8"/>
    <w:rsid w:val="00FB62BB"/>
    <w:rsid w:val="00FB6BE3"/>
    <w:rsid w:val="00FB76A8"/>
    <w:rsid w:val="00FC0CF4"/>
    <w:rsid w:val="00FC49A5"/>
    <w:rsid w:val="00FD60CF"/>
    <w:rsid w:val="00FE4DB1"/>
    <w:rsid w:val="00FF0C5C"/>
    <w:rsid w:val="00FF0EB8"/>
    <w:rsid w:val="00FF2487"/>
    <w:rsid w:val="00FF400E"/>
    <w:rsid w:val="00F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929A05-7917-49AC-8505-267E8575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49"/>
    <w:rPr>
      <w:lang w:val="pt-BR" w:eastAsia="pt-BR"/>
    </w:rPr>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lang w:val="pt-BR" w:eastAsia="pt-BR"/>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
    <w:name w:val="Menção Pendente"/>
    <w:uiPriority w:val="99"/>
    <w:semiHidden/>
    <w:unhideWhenUsed/>
    <w:rsid w:val="00F300EF"/>
    <w:rPr>
      <w:color w:val="605E5C"/>
      <w:shd w:val="clear" w:color="auto" w:fill="E1DFDD"/>
    </w:rPr>
  </w:style>
  <w:style w:type="paragraph" w:styleId="Pr-formataoHTML">
    <w:name w:val="HTML Preformatted"/>
    <w:basedOn w:val="Normal"/>
    <w:link w:val="Pr-formataoHTMLChar"/>
    <w:uiPriority w:val="99"/>
    <w:semiHidden/>
    <w:unhideWhenUsed/>
    <w:rsid w:val="00FF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semiHidden/>
    <w:rsid w:val="00FF400E"/>
    <w:rPr>
      <w:rFonts w:ascii="Courier New" w:hAnsi="Courier New" w:cs="Courier New"/>
    </w:rPr>
  </w:style>
  <w:style w:type="character" w:customStyle="1" w:styleId="y2iqfc">
    <w:name w:val="y2iqfc"/>
    <w:basedOn w:val="Fontepargpadro"/>
    <w:rsid w:val="00FF400E"/>
  </w:style>
  <w:style w:type="paragraph" w:styleId="PargrafodaLista">
    <w:name w:val="List Paragraph"/>
    <w:basedOn w:val="Normal"/>
    <w:uiPriority w:val="34"/>
    <w:qFormat/>
    <w:rsid w:val="001007A0"/>
    <w:pPr>
      <w:spacing w:after="160" w:line="259" w:lineRule="auto"/>
      <w:ind w:left="720"/>
      <w:contextualSpacing/>
    </w:pPr>
    <w:rPr>
      <w:rFonts w:ascii="Calibri" w:eastAsia="Calibri" w:hAnsi="Calibri"/>
      <w:sz w:val="22"/>
      <w:szCs w:val="22"/>
      <w:lang w:eastAsia="en-US"/>
    </w:rPr>
  </w:style>
  <w:style w:type="paragraph" w:customStyle="1" w:styleId="Standard">
    <w:name w:val="Standard"/>
    <w:rsid w:val="00281420"/>
    <w:pPr>
      <w:suppressAutoHyphens/>
      <w:autoSpaceDN w:val="0"/>
      <w:textAlignment w:val="baseline"/>
    </w:pPr>
    <w:rPr>
      <w:rFonts w:ascii="Liberation Serif" w:eastAsia="NSimSun" w:hAnsi="Liberation Serif" w:cs="Lucida Sans"/>
      <w:kern w:val="3"/>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279386054">
      <w:bodyDiv w:val="1"/>
      <w:marLeft w:val="0"/>
      <w:marRight w:val="0"/>
      <w:marTop w:val="0"/>
      <w:marBottom w:val="0"/>
      <w:divBdr>
        <w:top w:val="none" w:sz="0" w:space="0" w:color="auto"/>
        <w:left w:val="none" w:sz="0" w:space="0" w:color="auto"/>
        <w:bottom w:val="none" w:sz="0" w:space="0" w:color="auto"/>
        <w:right w:val="none" w:sz="0" w:space="0" w:color="auto"/>
      </w:divBdr>
    </w:div>
    <w:div w:id="472723308">
      <w:bodyDiv w:val="1"/>
      <w:marLeft w:val="0"/>
      <w:marRight w:val="0"/>
      <w:marTop w:val="0"/>
      <w:marBottom w:val="0"/>
      <w:divBdr>
        <w:top w:val="none" w:sz="0" w:space="0" w:color="auto"/>
        <w:left w:val="none" w:sz="0" w:space="0" w:color="auto"/>
        <w:bottom w:val="none" w:sz="0" w:space="0" w:color="auto"/>
        <w:right w:val="none" w:sz="0" w:space="0" w:color="auto"/>
      </w:divBdr>
    </w:div>
    <w:div w:id="538203431">
      <w:bodyDiv w:val="1"/>
      <w:marLeft w:val="0"/>
      <w:marRight w:val="0"/>
      <w:marTop w:val="0"/>
      <w:marBottom w:val="0"/>
      <w:divBdr>
        <w:top w:val="none" w:sz="0" w:space="0" w:color="auto"/>
        <w:left w:val="none" w:sz="0" w:space="0" w:color="auto"/>
        <w:bottom w:val="none" w:sz="0" w:space="0" w:color="auto"/>
        <w:right w:val="none" w:sz="0" w:space="0" w:color="auto"/>
      </w:divBdr>
    </w:div>
    <w:div w:id="1383627271">
      <w:bodyDiv w:val="1"/>
      <w:marLeft w:val="0"/>
      <w:marRight w:val="0"/>
      <w:marTop w:val="0"/>
      <w:marBottom w:val="0"/>
      <w:divBdr>
        <w:top w:val="none" w:sz="0" w:space="0" w:color="auto"/>
        <w:left w:val="none" w:sz="0" w:space="0" w:color="auto"/>
        <w:bottom w:val="none" w:sz="0" w:space="0" w:color="auto"/>
        <w:right w:val="none" w:sz="0" w:space="0" w:color="auto"/>
      </w:divBdr>
    </w:div>
    <w:div w:id="1387602226">
      <w:bodyDiv w:val="1"/>
      <w:marLeft w:val="0"/>
      <w:marRight w:val="0"/>
      <w:marTop w:val="0"/>
      <w:marBottom w:val="0"/>
      <w:divBdr>
        <w:top w:val="none" w:sz="0" w:space="0" w:color="auto"/>
        <w:left w:val="none" w:sz="0" w:space="0" w:color="auto"/>
        <w:bottom w:val="none" w:sz="0" w:space="0" w:color="auto"/>
        <w:right w:val="none" w:sz="0" w:space="0" w:color="auto"/>
      </w:divBdr>
    </w:div>
    <w:div w:id="19351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stemasdeproducao.cnptia.embrapa.br/FontesHTML/Tomate/TomateIndustrial_2ed/adubacao.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ovanepc@gmail.com" TargetMode="External"/><Relationship Id="rId12" Type="http://schemas.openxmlformats.org/officeDocument/2006/relationships/hyperlink" Target="https://doi.org/10.15809/irriga.2011v16n1p1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vistas.fca.unesp.br/index.php/irriga/issue/view/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590/S0102-0536201600001000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9554-9257-4B91-A1AC-FA73351A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2375</Words>
  <Characters>13542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15886</CharactersWithSpaces>
  <SharedDoc>false</SharedDoc>
  <HLinks>
    <vt:vector size="30" baseType="variant">
      <vt:variant>
        <vt:i4>3932191</vt:i4>
      </vt:variant>
      <vt:variant>
        <vt:i4>12</vt:i4>
      </vt:variant>
      <vt:variant>
        <vt:i4>0</vt:i4>
      </vt:variant>
      <vt:variant>
        <vt:i4>5</vt:i4>
      </vt:variant>
      <vt:variant>
        <vt:lpwstr>https://sistemasdeproducao.cnptia.embrapa.br/FontesHTML/Tomate/TomateIndustrial_2ed/adubacao.htm</vt:lpwstr>
      </vt:variant>
      <vt:variant>
        <vt:lpwstr/>
      </vt:variant>
      <vt:variant>
        <vt:i4>4194377</vt:i4>
      </vt:variant>
      <vt:variant>
        <vt:i4>9</vt:i4>
      </vt:variant>
      <vt:variant>
        <vt:i4>0</vt:i4>
      </vt:variant>
      <vt:variant>
        <vt:i4>5</vt:i4>
      </vt:variant>
      <vt:variant>
        <vt:lpwstr>https://doi.org/10.15809/irriga.2011v16n1p11</vt:lpwstr>
      </vt:variant>
      <vt:variant>
        <vt:lpwstr/>
      </vt:variant>
      <vt:variant>
        <vt:i4>4128883</vt:i4>
      </vt:variant>
      <vt:variant>
        <vt:i4>6</vt:i4>
      </vt:variant>
      <vt:variant>
        <vt:i4>0</vt:i4>
      </vt:variant>
      <vt:variant>
        <vt:i4>5</vt:i4>
      </vt:variant>
      <vt:variant>
        <vt:lpwstr>http://revistas.fca.unesp.br/index.php/irriga/issue/view/10</vt:lpwstr>
      </vt:variant>
      <vt:variant>
        <vt:lpwstr/>
      </vt:variant>
      <vt:variant>
        <vt:i4>262175</vt:i4>
      </vt:variant>
      <vt:variant>
        <vt:i4>3</vt:i4>
      </vt:variant>
      <vt:variant>
        <vt:i4>0</vt:i4>
      </vt:variant>
      <vt:variant>
        <vt:i4>5</vt:i4>
      </vt:variant>
      <vt:variant>
        <vt:lpwstr>https://doi.org/10.1590/S0102-053620160000100016</vt:lpwstr>
      </vt:variant>
      <vt:variant>
        <vt:lpwstr/>
      </vt:variant>
      <vt:variant>
        <vt:i4>6946894</vt:i4>
      </vt:variant>
      <vt:variant>
        <vt:i4>0</vt:i4>
      </vt:variant>
      <vt:variant>
        <vt:i4>0</vt:i4>
      </vt:variant>
      <vt:variant>
        <vt:i4>5</vt:i4>
      </vt:variant>
      <vt:variant>
        <vt:lpwstr>mailto:diovanepc@gmail.com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Valdir Junio</cp:lastModifiedBy>
  <cp:revision>2</cp:revision>
  <cp:lastPrinted>2023-06-30T21:25:00Z</cp:lastPrinted>
  <dcterms:created xsi:type="dcterms:W3CDTF">2023-07-01T01:08:00Z</dcterms:created>
  <dcterms:modified xsi:type="dcterms:W3CDTF">2023-07-01T01:08:00Z</dcterms:modified>
</cp:coreProperties>
</file>